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F404E5" w14:textId="77777777" w:rsidR="00830E5E" w:rsidRDefault="00830E5E">
      <w:pPr>
        <w:rPr>
          <w:rFonts w:ascii="黑体" w:eastAsia="黑体" w:hAnsi="黑体" w:hint="eastAsia"/>
          <w:sz w:val="32"/>
          <w:szCs w:val="32"/>
        </w:rPr>
      </w:pPr>
    </w:p>
    <w:p w14:paraId="706C92BD" w14:textId="77777777" w:rsidR="00830E5E" w:rsidRDefault="00830E5E">
      <w:pPr>
        <w:jc w:val="center"/>
        <w:rPr>
          <w:rFonts w:ascii="方正小标宋_GBK" w:eastAsia="方正小标宋_GBK" w:hAnsi="宋体" w:hint="eastAsia"/>
          <w:sz w:val="44"/>
          <w:szCs w:val="44"/>
        </w:rPr>
      </w:pPr>
    </w:p>
    <w:p w14:paraId="10465CCA" w14:textId="77777777" w:rsidR="00830E5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昌吉州生态环境局木垒县分局</w:t>
      </w:r>
    </w:p>
    <w:p w14:paraId="76627C3C" w14:textId="77777777" w:rsidR="00830E5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3B44F53F" w14:textId="77777777" w:rsidR="00830E5E"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F8137A5" w14:textId="77777777" w:rsidR="00830E5E"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B4092E6" w14:textId="77777777" w:rsidR="00830E5E"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7507936" w14:textId="77777777" w:rsidR="00830E5E"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5470FF7"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23C609A"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152E70A" w14:textId="77777777" w:rsidR="00830E5E"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4761E1C"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26DE9D8"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DB0DCDC"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515B226"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C60278E"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FDA64ED"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85EB921"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4F10972"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E0427D1" w14:textId="77777777" w:rsidR="00830E5E"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07848C2"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18BE70E" w14:textId="77777777" w:rsidR="00830E5E"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F2C0736" w14:textId="77777777" w:rsidR="00830E5E"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71D77A8" w14:textId="77777777" w:rsidR="00830E5E"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0846E74"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38E2CE3"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05CC4A6" w14:textId="77777777" w:rsidR="00830E5E"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1F0F962" w14:textId="77777777" w:rsidR="00830E5E"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49BFFCB"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FB0C464"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B6B32A0"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A821F89"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D00848A"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7E97DB2"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387EE28" w14:textId="77777777" w:rsidR="00830E5E"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0C83BDE" w14:textId="77777777" w:rsidR="00830E5E"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CAD6421" w14:textId="77777777" w:rsidR="00830E5E"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2E70D79" w14:textId="77777777" w:rsidR="00830E5E" w:rsidRDefault="00000000">
      <w:r>
        <w:rPr>
          <w:rFonts w:ascii="仿宋_GB2312" w:eastAsia="仿宋_GB2312" w:hAnsi="仿宋_GB2312" w:cs="仿宋_GB2312" w:hint="eastAsia"/>
          <w:sz w:val="32"/>
          <w:szCs w:val="32"/>
        </w:rPr>
        <w:fldChar w:fldCharType="end"/>
      </w:r>
    </w:p>
    <w:p w14:paraId="34FCA4E0" w14:textId="77777777" w:rsidR="00830E5E" w:rsidRDefault="00000000">
      <w:pPr>
        <w:rPr>
          <w:rFonts w:ascii="仿宋_GB2312" w:eastAsia="仿宋_GB2312"/>
          <w:sz w:val="32"/>
          <w:szCs w:val="32"/>
        </w:rPr>
      </w:pPr>
      <w:r>
        <w:rPr>
          <w:rFonts w:ascii="仿宋_GB2312" w:eastAsia="仿宋_GB2312" w:hint="eastAsia"/>
          <w:sz w:val="32"/>
          <w:szCs w:val="32"/>
        </w:rPr>
        <w:br w:type="page"/>
      </w:r>
    </w:p>
    <w:p w14:paraId="5B4DF34D" w14:textId="77777777" w:rsidR="00830E5E"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587BA737" w14:textId="77777777" w:rsidR="00830E5E"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1ACAC572" w14:textId="77777777" w:rsidR="00830E5E" w:rsidRDefault="00000000">
      <w:pPr>
        <w:ind w:firstLineChars="200" w:firstLine="640"/>
        <w:rPr>
          <w:rFonts w:ascii="仿宋_GB2312" w:eastAsia="仿宋_GB2312"/>
          <w:sz w:val="32"/>
          <w:szCs w:val="32"/>
        </w:rPr>
      </w:pPr>
      <w:r>
        <w:rPr>
          <w:rFonts w:ascii="仿宋_GB2312" w:eastAsia="仿宋_GB2312" w:hint="eastAsia"/>
          <w:sz w:val="32"/>
          <w:szCs w:val="32"/>
        </w:rPr>
        <w:t>贯彻执行国家、区、州、县环境保护政策、法律法规、规划及有关决策部署，牵头承担木垒县环境保护委员会职责，拟订并组织实施自治县环境保护规划，起草环境保护单行条例；组织编制环境功能区划、生态功能区划；组织拟订重要饮用水水源地、禁燃区、重点区域、流域及专项污染防治规划并监督实施，大力推进生态文明建设。组织协调重大环境污染事故和生态破坏事件的调查处理，指导协调重大突发环境事件的应急、预警工作；协调解决环境污染纠纷，统筹协调自治县流域、区域污染防治工作。</w:t>
      </w:r>
    </w:p>
    <w:p w14:paraId="70055F6F" w14:textId="77777777" w:rsidR="00830E5E" w:rsidRDefault="00000000">
      <w:pPr>
        <w:ind w:firstLineChars="200" w:firstLine="640"/>
        <w:rPr>
          <w:rFonts w:ascii="仿宋_GB2312" w:eastAsia="仿宋_GB2312"/>
          <w:sz w:val="32"/>
          <w:szCs w:val="32"/>
        </w:rPr>
      </w:pPr>
      <w:r>
        <w:rPr>
          <w:rFonts w:ascii="仿宋_GB2312" w:eastAsia="仿宋_GB2312" w:hint="eastAsia"/>
          <w:sz w:val="32"/>
          <w:szCs w:val="32"/>
        </w:rPr>
        <w:t>执行国家主要污染物排放总量控制和排污许可证制度，按照自治区减排目标制定自治县总量控制计划并组织实施，督查、督办、核查各县市污染物减排任务完成情况；实施环 境保护目标责任制，维护环境安全。组织实施自治县规划与建设项目环境影响评价、环保 “三同时”等环境管理制度；对自治县涉及环境保护的条例草案提出有关环境保护方面的意见；按照国家和自治区规定审批建设项目环境影响评价文件。完成自治县党委、自治县人民政府交办的其他任务。</w:t>
      </w:r>
    </w:p>
    <w:p w14:paraId="192B07EF" w14:textId="77777777" w:rsidR="00830E5E"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2DC10CD" w14:textId="77777777" w:rsidR="00830E5E" w:rsidRDefault="00000000">
      <w:pPr>
        <w:ind w:firstLineChars="200" w:firstLine="640"/>
        <w:rPr>
          <w:rFonts w:ascii="仿宋_GB2312" w:eastAsia="仿宋_GB2312"/>
          <w:sz w:val="32"/>
          <w:szCs w:val="32"/>
        </w:rPr>
      </w:pPr>
      <w:r>
        <w:rPr>
          <w:rFonts w:ascii="仿宋_GB2312" w:eastAsia="仿宋_GB2312" w:hint="eastAsia"/>
          <w:sz w:val="32"/>
          <w:szCs w:val="32"/>
        </w:rPr>
        <w:t>昌吉州生态环境局木垒县分局2023年度，实有人数16人，其中：在职人员9人，离休人员0人，退休人员7人。</w:t>
      </w:r>
    </w:p>
    <w:p w14:paraId="6F7D4C0E" w14:textId="77777777" w:rsidR="00830E5E" w:rsidRDefault="00000000">
      <w:pPr>
        <w:ind w:firstLineChars="200" w:firstLine="640"/>
        <w:rPr>
          <w:rFonts w:ascii="仿宋_GB2312" w:eastAsia="仿宋_GB2312"/>
          <w:sz w:val="32"/>
          <w:szCs w:val="32"/>
        </w:rPr>
        <w:sectPr w:rsidR="00830E5E">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rPr>
        <w:lastRenderedPageBreak/>
        <w:t>单位无下属预算单位，下设3个处室，分别是：党政办、生态与应急办、综合业务办。</w:t>
      </w:r>
    </w:p>
    <w:p w14:paraId="34DBAF25" w14:textId="77777777" w:rsidR="00830E5E"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6ADAF43B" w14:textId="77777777" w:rsidR="00830E5E"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6CD87ACF"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2023年度收入总计1,297.76万元，其中：本年收入合计1,297.76万元，使用非财政拨款结余0.00万元，年初结转和结余0.00万元。</w:t>
      </w:r>
    </w:p>
    <w:p w14:paraId="47EC4F4F"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2023年度支出总计1,297.76万元，其中：本年支出合计1,297.76万元，结余分配0.00万元，年末结转和结余0.00万元。</w:t>
      </w:r>
    </w:p>
    <w:p w14:paraId="4FAB6A22"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增加605.26万元</w:t>
      </w:r>
      <w:r>
        <w:rPr>
          <w:rFonts w:ascii="仿宋_GB2312" w:eastAsia="仿宋_GB2312" w:hint="eastAsia"/>
          <w:sz w:val="32"/>
          <w:szCs w:val="32"/>
        </w:rPr>
        <w:t>，增长87.40%，主要原因是：2023年中央大气污染防治资金增加。</w:t>
      </w:r>
    </w:p>
    <w:p w14:paraId="7E136B6C" w14:textId="77777777" w:rsidR="00830E5E"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A0CFC9A"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本年收入1,297.76万元，其中：财政拨款收入</w:t>
      </w:r>
      <w:r>
        <w:rPr>
          <w:rFonts w:ascii="仿宋_GB2312" w:eastAsia="仿宋_GB2312" w:hint="eastAsia"/>
          <w:sz w:val="32"/>
          <w:szCs w:val="32"/>
          <w:lang w:val="zh-CN"/>
        </w:rPr>
        <w:t>1,297.76</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6F438F36" w14:textId="77777777" w:rsidR="00830E5E"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0DDA00B5" w14:textId="77777777" w:rsidR="00830E5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本年支出1,297.76万元，其中：基本支出163.63万元，占12.61%；项目支出1,134.13万元，占87.39%；上缴上级支出0.00万元，占0.00%；经营支出0.00万元，占0.00%；对附属单位补助支出0.00万元，占0.00%。</w:t>
      </w:r>
    </w:p>
    <w:p w14:paraId="7F59DD6B" w14:textId="77777777" w:rsidR="00830E5E"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35903E85" w14:textId="77777777" w:rsidR="00830E5E" w:rsidRDefault="00000000">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2023年度财政拨款收入总计1,297.76万元，其中：年初财政拨款结转和结余0.00万元，本年财政拨款收入1,297.76万元。财政拨款支出总计1,297.76万元，其中：年末财政拨款结转和结余0.00万元，本年财政拨款支出1,297.76万元。</w:t>
      </w:r>
    </w:p>
    <w:p w14:paraId="79BB367A" w14:textId="77777777" w:rsidR="00830E5E" w:rsidRDefault="00000000">
      <w:pPr>
        <w:spacing w:line="600" w:lineRule="exact"/>
        <w:ind w:firstLineChars="200" w:firstLine="640"/>
        <w:rPr>
          <w:rFonts w:ascii="仿宋_GB2312" w:eastAsia="仿宋_GB2312"/>
          <w:sz w:val="32"/>
          <w:szCs w:val="32"/>
        </w:rPr>
      </w:pPr>
      <w:r>
        <w:rPr>
          <w:rFonts w:ascii="仿宋_GB2312" w:eastAsia="仿宋_GB2312" w:hint="eastAsia"/>
          <w:sz w:val="32"/>
          <w:szCs w:val="32"/>
        </w:rPr>
        <w:t>财政拨款收入支出总体与上年相比,增加605.26万元，增长87.40%,主要原因是：2023年中央大气污染防治资金增加。与年初预算相比，年初预算数161.09万元，决算数1,297.76万元，预决算差异率705.61%，主要原因是：单位年中追加补缴公务员绩效奖、以前年度职业年金缴费。</w:t>
      </w:r>
    </w:p>
    <w:p w14:paraId="1E25CF13" w14:textId="77777777" w:rsidR="00830E5E"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B85BCFB" w14:textId="77777777" w:rsidR="00830E5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4AFC20C" w14:textId="77777777" w:rsidR="00830E5E" w:rsidRDefault="00000000">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2023年度一般公共预算财政拨款支出1,297.76万元，占本年支出合计的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增加605.26万元</w:t>
      </w:r>
      <w:r>
        <w:rPr>
          <w:rFonts w:ascii="仿宋_GB2312" w:eastAsia="仿宋_GB2312" w:hint="eastAsia"/>
          <w:sz w:val="32"/>
          <w:szCs w:val="32"/>
        </w:rPr>
        <w:t>，增长87.40%,主要原因是：2023年中央大气污染防治资金增加。与年初预算相比，年初预算数</w:t>
      </w:r>
      <w:r>
        <w:rPr>
          <w:rFonts w:ascii="仿宋_GB2312" w:eastAsia="仿宋_GB2312" w:hint="eastAsia"/>
          <w:sz w:val="32"/>
          <w:szCs w:val="32"/>
          <w:lang w:val="zh-CN"/>
        </w:rPr>
        <w:t>161.09</w:t>
      </w:r>
      <w:r>
        <w:rPr>
          <w:rFonts w:ascii="仿宋_GB2312" w:eastAsia="仿宋_GB2312" w:hint="eastAsia"/>
          <w:sz w:val="32"/>
          <w:szCs w:val="32"/>
        </w:rPr>
        <w:t>万元，决算数</w:t>
      </w:r>
      <w:r>
        <w:rPr>
          <w:rFonts w:ascii="仿宋_GB2312" w:eastAsia="仿宋_GB2312" w:hint="eastAsia"/>
          <w:sz w:val="32"/>
          <w:szCs w:val="32"/>
          <w:lang w:val="zh-CN"/>
        </w:rPr>
        <w:t>1,297.76</w:t>
      </w:r>
      <w:r>
        <w:rPr>
          <w:rFonts w:ascii="仿宋_GB2312" w:eastAsia="仿宋_GB2312" w:hint="eastAsia"/>
          <w:sz w:val="32"/>
          <w:szCs w:val="32"/>
        </w:rPr>
        <w:t>万元，预决算差异率</w:t>
      </w:r>
      <w:r>
        <w:rPr>
          <w:rFonts w:ascii="仿宋_GB2312" w:eastAsia="仿宋_GB2312" w:hint="eastAsia"/>
          <w:sz w:val="32"/>
          <w:szCs w:val="32"/>
          <w:lang w:val="zh-CN"/>
        </w:rPr>
        <w:t>705.61%</w:t>
      </w:r>
      <w:r>
        <w:rPr>
          <w:rFonts w:ascii="仿宋_GB2312" w:eastAsia="仿宋_GB2312" w:hint="eastAsia"/>
          <w:sz w:val="32"/>
          <w:szCs w:val="32"/>
        </w:rPr>
        <w:t>，主要原因是：单位年中追加补缴公务员绩效奖、以前年度职业年金缴费。</w:t>
      </w:r>
    </w:p>
    <w:p w14:paraId="25B43089" w14:textId="77777777" w:rsidR="00830E5E"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CB6BA02" w14:textId="77777777" w:rsidR="00830E5E"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28.59</w:t>
      </w:r>
      <w:r>
        <w:rPr>
          <w:rFonts w:ascii="仿宋_GB2312" w:eastAsia="仿宋_GB2312"/>
          <w:kern w:val="2"/>
          <w:sz w:val="32"/>
          <w:szCs w:val="32"/>
          <w:lang w:val="zh-CN"/>
        </w:rPr>
        <w:t>万元，占</w:t>
      </w:r>
      <w:r>
        <w:rPr>
          <w:rFonts w:ascii="仿宋_GB2312" w:eastAsia="仿宋_GB2312" w:hint="eastAsia"/>
          <w:kern w:val="2"/>
          <w:sz w:val="32"/>
          <w:szCs w:val="32"/>
          <w:lang w:val="zh-CN"/>
        </w:rPr>
        <w:t>2.20</w:t>
      </w:r>
      <w:r>
        <w:rPr>
          <w:rFonts w:ascii="仿宋_GB2312" w:eastAsia="仿宋_GB2312"/>
          <w:kern w:val="2"/>
          <w:sz w:val="32"/>
          <w:szCs w:val="32"/>
          <w:lang w:val="zh-CN"/>
        </w:rPr>
        <w:t>%；</w:t>
      </w:r>
    </w:p>
    <w:p w14:paraId="590AA815" w14:textId="77777777" w:rsidR="00830E5E"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.节能环保支出（类）</w:t>
      </w:r>
      <w:r>
        <w:rPr>
          <w:rFonts w:ascii="仿宋_GB2312" w:eastAsia="仿宋_GB2312" w:hint="eastAsia"/>
          <w:kern w:val="2"/>
          <w:sz w:val="32"/>
          <w:szCs w:val="32"/>
          <w:lang w:val="zh-CN"/>
        </w:rPr>
        <w:t>1,251.43</w:t>
      </w:r>
      <w:r>
        <w:rPr>
          <w:rFonts w:ascii="仿宋_GB2312" w:eastAsia="仿宋_GB2312"/>
          <w:kern w:val="2"/>
          <w:sz w:val="32"/>
          <w:szCs w:val="32"/>
          <w:lang w:val="zh-CN"/>
        </w:rPr>
        <w:t>万元，占</w:t>
      </w:r>
      <w:r>
        <w:rPr>
          <w:rFonts w:ascii="仿宋_GB2312" w:eastAsia="仿宋_GB2312" w:hint="eastAsia"/>
          <w:kern w:val="2"/>
          <w:sz w:val="32"/>
          <w:szCs w:val="32"/>
          <w:lang w:val="zh-CN"/>
        </w:rPr>
        <w:t>96.43</w:t>
      </w:r>
      <w:r>
        <w:rPr>
          <w:rFonts w:ascii="仿宋_GB2312" w:eastAsia="仿宋_GB2312"/>
          <w:kern w:val="2"/>
          <w:sz w:val="32"/>
          <w:szCs w:val="32"/>
          <w:lang w:val="zh-CN"/>
        </w:rPr>
        <w:t>%；</w:t>
      </w:r>
    </w:p>
    <w:p w14:paraId="08DF00CE" w14:textId="77777777" w:rsidR="00830E5E"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10.65</w:t>
      </w:r>
      <w:r>
        <w:rPr>
          <w:rFonts w:ascii="仿宋_GB2312" w:eastAsia="仿宋_GB2312"/>
          <w:kern w:val="2"/>
          <w:sz w:val="32"/>
          <w:szCs w:val="32"/>
          <w:lang w:val="zh-CN"/>
        </w:rPr>
        <w:t>万元，占</w:t>
      </w:r>
      <w:r>
        <w:rPr>
          <w:rFonts w:ascii="仿宋_GB2312" w:eastAsia="仿宋_GB2312" w:hint="eastAsia"/>
          <w:kern w:val="2"/>
          <w:sz w:val="32"/>
          <w:szCs w:val="32"/>
          <w:lang w:val="zh-CN"/>
        </w:rPr>
        <w:t>0.82</w:t>
      </w:r>
      <w:r>
        <w:rPr>
          <w:rFonts w:ascii="仿宋_GB2312" w:eastAsia="仿宋_GB2312"/>
          <w:kern w:val="2"/>
          <w:sz w:val="32"/>
          <w:szCs w:val="32"/>
          <w:lang w:val="zh-CN"/>
        </w:rPr>
        <w:t>%；</w:t>
      </w:r>
    </w:p>
    <w:p w14:paraId="6E2E83C6" w14:textId="77777777" w:rsidR="00830E5E"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7.09</w:t>
      </w:r>
      <w:r>
        <w:rPr>
          <w:rFonts w:ascii="仿宋_GB2312" w:eastAsia="仿宋_GB2312"/>
          <w:kern w:val="2"/>
          <w:sz w:val="32"/>
          <w:szCs w:val="32"/>
          <w:lang w:val="zh-CN"/>
        </w:rPr>
        <w:t>万元，占</w:t>
      </w:r>
      <w:r>
        <w:rPr>
          <w:rFonts w:ascii="仿宋_GB2312" w:eastAsia="仿宋_GB2312" w:hint="eastAsia"/>
          <w:kern w:val="2"/>
          <w:sz w:val="32"/>
          <w:szCs w:val="32"/>
          <w:lang w:val="zh-CN"/>
        </w:rPr>
        <w:t>0.55</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98231D4" w14:textId="77777777" w:rsidR="00830E5E"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62BE3EE5"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1.住房保障支出（类）住房改革支出（款）住房公积金（项）:支出决算数为10.65万元，比上年决算减少7.95万元，下降42.74%，主要原因是：本年单位人员减少，住房公积金减少。</w:t>
      </w:r>
    </w:p>
    <w:p w14:paraId="377FCFD4"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2.节能环保支出（类）污染防治（款）大气（项）:支出决算数为982.80万元，比上年决算增加982.80万元，增长100%，主要原因是：单位新增2023年中央大气污染防治资金。</w:t>
      </w:r>
    </w:p>
    <w:p w14:paraId="3D54BC6D"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3.节能环保支出（类）环境保护管理事务（款）行政运行（项）:支出决算数为124.39万元，比上年决算减少95.52万元，下降43.44%，主要原因是：单位人员减少，相应减少人员薪资、津贴补贴、奖金等。</w:t>
      </w:r>
    </w:p>
    <w:p w14:paraId="76CD7537"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4.社会保障和就业支出（类）行政事业单位养老支出（款）行政单位离退休（项）:支出决算数为2.42万元，比上年决算增加1.10万元，增长82.74%，主要原因是：单位本年退休人员交通补助、取暖费增加。</w:t>
      </w:r>
    </w:p>
    <w:p w14:paraId="4316B418"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5.节能环保支出（类）环境保护管理事务（款）其他环境保护管理事务支出（项）:支出决算数为144.24万元，比上年决算减少248.11万元，下降63.24%，主要原因是：单位本年环保及节能减排专项经费减少。</w:t>
      </w:r>
    </w:p>
    <w:p w14:paraId="5907D2F6"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w:t>
      </w:r>
      <w:r>
        <w:rPr>
          <w:rFonts w:ascii="仿宋_GB2312" w:eastAsia="仿宋_GB2312" w:hint="eastAsia"/>
          <w:sz w:val="32"/>
          <w:szCs w:val="32"/>
        </w:rPr>
        <w:lastRenderedPageBreak/>
        <w:t>（款）机关事业单位职业年金缴费支出（项）:支出决算数为12.22万元，比上年决算增加0.88万元，增长7.75%，主要原因是：单位补缴以前年度职业年金缴费。</w:t>
      </w:r>
    </w:p>
    <w:p w14:paraId="1C3503D5"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7.其他支出（类）其他支出（款）其他支出（项）:支出决算数为7.09万元，比上年决算减少4.80万元，下降40.41%，主要原因是：单位2023年度驻村工作工作队经费减少。</w:t>
      </w:r>
    </w:p>
    <w:p w14:paraId="38E0BB66"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基本养老保险缴费支出（项）:支出决算数为13.95万元，比上年决算减少10.28万元，下降42.42%，主要原因是：单位人员减少，养老保险缴费减少。</w:t>
      </w:r>
    </w:p>
    <w:p w14:paraId="20821AAA" w14:textId="348C0A48"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9.节能环保支出（类）其他节能环保支出（款）其他节能环保支出（项）:支出决算数为0.00万元，比上年决算减少12.87万元，下降100%，主要原因是：</w:t>
      </w:r>
      <w:r w:rsidR="0076066F" w:rsidRPr="0076066F">
        <w:rPr>
          <w:rFonts w:ascii="仿宋_GB2312" w:eastAsia="仿宋_GB2312" w:hint="eastAsia"/>
          <w:sz w:val="32"/>
          <w:szCs w:val="32"/>
        </w:rPr>
        <w:t>本年科目调整，本年此科目未安排环保节能减排专项经费</w:t>
      </w:r>
      <w:r>
        <w:rPr>
          <w:rFonts w:ascii="仿宋_GB2312" w:eastAsia="仿宋_GB2312" w:hint="eastAsia"/>
          <w:sz w:val="32"/>
          <w:szCs w:val="32"/>
        </w:rPr>
        <w:t>。</w:t>
      </w:r>
    </w:p>
    <w:p w14:paraId="3A45A0BC" w14:textId="77777777" w:rsidR="00830E5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C340FE2"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163.63万元，其中：人员经费158.84万元，包括：基本工资、津贴补贴、奖金、机关事业单位基本养老保险缴费、职业年金缴费、职工基本医疗保险缴费、公务员医疗补助缴费、其他社会保障缴费、住房公积金、退休费、奖励金、其他对个人和家庭的补助。</w:t>
      </w:r>
    </w:p>
    <w:p w14:paraId="145224CD" w14:textId="77777777" w:rsidR="00830E5E"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lastRenderedPageBreak/>
        <w:t>公用经费4.79万元，包括：办公费、水费、取暖费、差旅费、维修（护）费、劳务费、公务用车运行维护费</w:t>
      </w:r>
      <w:r>
        <w:rPr>
          <w:rFonts w:ascii="仿宋_GB2312" w:eastAsia="仿宋_GB2312" w:hAnsi="宋体" w:cs="宋体" w:hint="eastAsia"/>
          <w:kern w:val="0"/>
          <w:sz w:val="32"/>
          <w:szCs w:val="32"/>
        </w:rPr>
        <w:t>。</w:t>
      </w:r>
    </w:p>
    <w:p w14:paraId="2E5A7BD4" w14:textId="77777777" w:rsidR="00830E5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04D460F" w14:textId="77777777" w:rsidR="00830E5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“三公”经费支出1.02万元，</w:t>
      </w:r>
      <w:r>
        <w:rPr>
          <w:rFonts w:ascii="仿宋_GB2312" w:eastAsia="仿宋_GB2312" w:hint="eastAsia"/>
          <w:sz w:val="32"/>
          <w:szCs w:val="32"/>
        </w:rPr>
        <w:t>比上年</w:t>
      </w:r>
      <w:r>
        <w:rPr>
          <w:rFonts w:ascii="仿宋_GB2312" w:eastAsia="仿宋_GB2312" w:hint="eastAsia"/>
          <w:sz w:val="32"/>
          <w:szCs w:val="32"/>
          <w:lang w:val="zh-CN"/>
        </w:rPr>
        <w:t>减少0.38万元，</w:t>
      </w:r>
      <w:r>
        <w:rPr>
          <w:rFonts w:ascii="仿宋_GB2312" w:eastAsia="仿宋_GB2312" w:hint="eastAsia"/>
          <w:sz w:val="32"/>
          <w:szCs w:val="32"/>
        </w:rPr>
        <w:t>下降27.14%,</w:t>
      </w:r>
      <w:r>
        <w:rPr>
          <w:rFonts w:ascii="仿宋_GB2312" w:eastAsia="仿宋_GB2312" w:hint="eastAsia"/>
          <w:sz w:val="32"/>
          <w:szCs w:val="32"/>
          <w:lang w:val="zh-CN"/>
        </w:rPr>
        <w:t>主要原因是：绿色出行，车辆维修维护费、燃油费等减少。其中：因公出国（境）费支出0.00万元，占0.00%，比上年增加0.00万元，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主要原因是：单位本年无此项经费；公务用车购置及运行维护费支出1.02万元，占100.00%，比上年减少0.38万元，</w:t>
      </w:r>
      <w:r>
        <w:rPr>
          <w:rFonts w:ascii="仿宋_GB2312" w:eastAsia="仿宋_GB2312" w:hint="eastAsia"/>
          <w:sz w:val="32"/>
          <w:szCs w:val="32"/>
        </w:rPr>
        <w:t>下降27.14%,</w:t>
      </w:r>
      <w:r>
        <w:rPr>
          <w:rFonts w:ascii="仿宋_GB2312" w:eastAsia="仿宋_GB2312" w:hint="eastAsia"/>
          <w:sz w:val="32"/>
          <w:szCs w:val="32"/>
          <w:lang w:val="zh-CN"/>
        </w:rPr>
        <w:t>主要原因是：绿色出行，车辆维修维护费、燃油费等减少；公务接待费支出0.00万元，占0.00%，比上年增加0.00万元，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0F85A9AF" w14:textId="77777777" w:rsidR="00830E5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5CB5832" w14:textId="77777777" w:rsidR="00830E5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350343CA" w14:textId="0579AA9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1.02万元，其中：公务用车购置费0.00万元，公务用车运行维护费1.02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w:t>
      </w:r>
      <w:r>
        <w:rPr>
          <w:rFonts w:ascii="仿宋_GB2312" w:eastAsia="仿宋_GB2312" w:hint="eastAsia"/>
          <w:sz w:val="32"/>
          <w:szCs w:val="32"/>
          <w:lang w:val="zh-CN"/>
        </w:rPr>
        <w:lastRenderedPageBreak/>
        <w:t>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76066F" w:rsidRPr="0076066F">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594C7D1D" w14:textId="77777777" w:rsidR="00830E5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6668AE7B" w14:textId="77777777" w:rsidR="00830E5E"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预算数1.02万元，决算数1.02万元，预决算差异率0.00%，主要原因是：严格按照预算执行，预决算对比无差异。其中：因公出国（境）费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预算数1.02万元，决算数1.02万元，预决算差异率0.00%，主要原因是：严格按照预算执行，预决算对比无差异；公务接待费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58FA8291" w14:textId="77777777" w:rsidR="00830E5E"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1D6FE55F"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8BF282E" w14:textId="77777777" w:rsidR="00830E5E"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8754F2C"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14:paraId="176AF206" w14:textId="77777777" w:rsidR="00830E5E"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CD39C01" w14:textId="77777777" w:rsidR="00830E5E"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D14CBAC" w14:textId="77777777" w:rsidR="00830E5E"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2023年度昌吉州生态环境局木垒县分局（行政单位和参照公务员法管理事业单位）机关运行经费支出4.79万元，比上年减少6.63万元，下降58.06%，主要原因是：办公费、水费、取暖费、差旅费、维修（护）费减少。</w:t>
      </w:r>
    </w:p>
    <w:p w14:paraId="01D66253" w14:textId="77777777" w:rsidR="00830E5E"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886BFA7"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2023年度政府采购支出总额17.14万元，其中：政府采购货物支出7.17万元、政府采购工程支出0.00万元、政府采购服务支出9.97万元。</w:t>
      </w:r>
    </w:p>
    <w:p w14:paraId="047337AD"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授予中小企业合同金额17.14万元，占政府采购支出总额的100.00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，其中：授予小微企业合同金额16.14万元，占政府采购支出总额的94.17%。</w:t>
      </w:r>
    </w:p>
    <w:p w14:paraId="532B8F56" w14:textId="77777777" w:rsidR="00830E5E"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926A584"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500.93万元，房屋1,752.82平方米，价值365.22万元。车辆1辆，价值17.78万元，其中：副部（省）级及以上领导用车0辆、主要负责人用车0辆、机要通信用车0辆、应急保障用车0辆、执法执勤用车0辆、特种专业技术用车1辆、离退休干部服务用车0辆、其他用车0辆，其他用车主要是：单位无其他</w:t>
      </w:r>
      <w:r>
        <w:rPr>
          <w:rFonts w:ascii="仿宋_GB2312" w:eastAsia="仿宋_GB2312" w:hint="eastAsia"/>
          <w:sz w:val="32"/>
          <w:szCs w:val="32"/>
        </w:rPr>
        <w:lastRenderedPageBreak/>
        <w:t>车辆；单价100万元（含）以上设备（不含车辆）0台（套）。</w:t>
      </w:r>
    </w:p>
    <w:p w14:paraId="6AA89989" w14:textId="77777777" w:rsidR="00830E5E"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116FBC7" w14:textId="77777777" w:rsidR="00830E5E"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1,297.76</w:t>
      </w:r>
      <w:r>
        <w:rPr>
          <w:rFonts w:ascii="仿宋_GB2312" w:eastAsia="仿宋_GB2312" w:hint="eastAsia"/>
          <w:sz w:val="32"/>
          <w:szCs w:val="32"/>
        </w:rPr>
        <w:t>万元，实际执行总额</w:t>
      </w:r>
      <w:r>
        <w:rPr>
          <w:rFonts w:ascii="仿宋_GB2312" w:eastAsia="仿宋_GB2312"/>
          <w:sz w:val="32"/>
          <w:szCs w:val="32"/>
        </w:rPr>
        <w:t>1,297.76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ook w:val="04A0" w:firstRow="1" w:lastRow="0" w:firstColumn="1" w:lastColumn="0" w:noHBand="0" w:noVBand="1"/>
      </w:tblPr>
      <w:tblGrid>
        <w:gridCol w:w="878"/>
        <w:gridCol w:w="816"/>
        <w:gridCol w:w="1675"/>
        <w:gridCol w:w="1389"/>
        <w:gridCol w:w="1442"/>
        <w:gridCol w:w="854"/>
        <w:gridCol w:w="709"/>
        <w:gridCol w:w="759"/>
      </w:tblGrid>
      <w:tr w:rsidR="00830E5E" w14:paraId="484BE3D0"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9C5E76C"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830E5E" w14:paraId="2C267485"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26F8AA4"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830E5E" w14:paraId="6C2627E5" w14:textId="77777777">
        <w:trPr>
          <w:trHeight w:val="660"/>
          <w:jc w:val="center"/>
        </w:trPr>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0DBF8"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w:t>
            </w:r>
            <w:r>
              <w:rPr>
                <w:rFonts w:ascii="宋体" w:hAnsi="宋体" w:cs="宋体" w:hint="eastAsia"/>
                <w:kern w:val="0"/>
                <w:sz w:val="20"/>
                <w:szCs w:val="20"/>
              </w:rPr>
              <w:lastRenderedPageBreak/>
              <w:t>称</w:t>
            </w:r>
          </w:p>
        </w:tc>
        <w:tc>
          <w:tcPr>
            <w:tcW w:w="7644" w:type="dxa"/>
            <w:gridSpan w:val="7"/>
            <w:tcBorders>
              <w:top w:val="single" w:sz="4" w:space="0" w:color="auto"/>
              <w:left w:val="nil"/>
              <w:bottom w:val="single" w:sz="4" w:space="0" w:color="auto"/>
              <w:right w:val="single" w:sz="4" w:space="0" w:color="auto"/>
            </w:tcBorders>
            <w:shd w:val="clear" w:color="auto" w:fill="auto"/>
            <w:noWrap/>
            <w:vAlign w:val="center"/>
          </w:tcPr>
          <w:p w14:paraId="6B13A823"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木垒县环境保护局</w:t>
            </w:r>
          </w:p>
        </w:tc>
      </w:tr>
      <w:tr w:rsidR="00830E5E" w14:paraId="0F690EA0" w14:textId="77777777">
        <w:trPr>
          <w:trHeight w:val="570"/>
          <w:jc w:val="cent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D56CA9"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816" w:type="dxa"/>
            <w:tcBorders>
              <w:top w:val="nil"/>
              <w:left w:val="nil"/>
              <w:bottom w:val="single" w:sz="4" w:space="0" w:color="auto"/>
              <w:right w:val="single" w:sz="4" w:space="0" w:color="auto"/>
            </w:tcBorders>
            <w:shd w:val="clear" w:color="auto" w:fill="auto"/>
            <w:vAlign w:val="center"/>
          </w:tcPr>
          <w:p w14:paraId="2CB65B99"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675" w:type="dxa"/>
            <w:tcBorders>
              <w:top w:val="nil"/>
              <w:left w:val="nil"/>
              <w:bottom w:val="single" w:sz="4" w:space="0" w:color="auto"/>
              <w:right w:val="single" w:sz="4" w:space="0" w:color="auto"/>
            </w:tcBorders>
            <w:shd w:val="clear" w:color="auto" w:fill="auto"/>
            <w:vAlign w:val="center"/>
          </w:tcPr>
          <w:p w14:paraId="6AE4CC01"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389" w:type="dxa"/>
            <w:tcBorders>
              <w:top w:val="nil"/>
              <w:left w:val="nil"/>
              <w:bottom w:val="single" w:sz="4" w:space="0" w:color="auto"/>
              <w:right w:val="single" w:sz="4" w:space="0" w:color="auto"/>
            </w:tcBorders>
            <w:shd w:val="clear" w:color="auto" w:fill="auto"/>
            <w:vAlign w:val="center"/>
          </w:tcPr>
          <w:p w14:paraId="667330E1"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442" w:type="dxa"/>
            <w:tcBorders>
              <w:top w:val="nil"/>
              <w:left w:val="nil"/>
              <w:bottom w:val="single" w:sz="4" w:space="0" w:color="auto"/>
              <w:right w:val="single" w:sz="4" w:space="0" w:color="auto"/>
            </w:tcBorders>
            <w:shd w:val="clear" w:color="auto" w:fill="auto"/>
            <w:vAlign w:val="center"/>
          </w:tcPr>
          <w:p w14:paraId="6C2724F1"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854" w:type="dxa"/>
            <w:tcBorders>
              <w:top w:val="nil"/>
              <w:left w:val="nil"/>
              <w:bottom w:val="single" w:sz="4" w:space="0" w:color="auto"/>
              <w:right w:val="single" w:sz="4" w:space="0" w:color="auto"/>
            </w:tcBorders>
            <w:shd w:val="clear" w:color="auto" w:fill="auto"/>
            <w:vAlign w:val="center"/>
          </w:tcPr>
          <w:p w14:paraId="34C11F66"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tcPr>
          <w:p w14:paraId="6FDE4A9E"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59" w:type="dxa"/>
            <w:tcBorders>
              <w:top w:val="nil"/>
              <w:left w:val="nil"/>
              <w:bottom w:val="single" w:sz="4" w:space="0" w:color="auto"/>
              <w:right w:val="single" w:sz="4" w:space="0" w:color="auto"/>
            </w:tcBorders>
            <w:shd w:val="clear" w:color="auto" w:fill="auto"/>
            <w:vAlign w:val="center"/>
          </w:tcPr>
          <w:p w14:paraId="3DE182F0"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830E5E" w14:paraId="19B835EB" w14:textId="77777777">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tcPr>
          <w:p w14:paraId="4C62D702" w14:textId="77777777" w:rsidR="00830E5E" w:rsidRDefault="00830E5E">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noWrap/>
            <w:vAlign w:val="center"/>
          </w:tcPr>
          <w:p w14:paraId="06DF3B20"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675" w:type="dxa"/>
            <w:tcBorders>
              <w:top w:val="nil"/>
              <w:left w:val="nil"/>
              <w:bottom w:val="single" w:sz="4" w:space="0" w:color="auto"/>
              <w:right w:val="single" w:sz="4" w:space="0" w:color="auto"/>
            </w:tcBorders>
            <w:shd w:val="clear" w:color="auto" w:fill="auto"/>
            <w:vAlign w:val="center"/>
          </w:tcPr>
          <w:p w14:paraId="3CEBF478"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89" w:type="dxa"/>
            <w:tcBorders>
              <w:top w:val="nil"/>
              <w:left w:val="nil"/>
              <w:bottom w:val="single" w:sz="4" w:space="0" w:color="auto"/>
              <w:right w:val="single" w:sz="4" w:space="0" w:color="auto"/>
            </w:tcBorders>
            <w:shd w:val="clear" w:color="auto" w:fill="auto"/>
            <w:vAlign w:val="center"/>
          </w:tcPr>
          <w:p w14:paraId="430E8220"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982.80</w:t>
            </w:r>
          </w:p>
        </w:tc>
        <w:tc>
          <w:tcPr>
            <w:tcW w:w="1442" w:type="dxa"/>
            <w:tcBorders>
              <w:top w:val="nil"/>
              <w:left w:val="nil"/>
              <w:bottom w:val="single" w:sz="4" w:space="0" w:color="auto"/>
              <w:right w:val="single" w:sz="4" w:space="0" w:color="auto"/>
            </w:tcBorders>
            <w:shd w:val="clear" w:color="auto" w:fill="auto"/>
            <w:vAlign w:val="center"/>
          </w:tcPr>
          <w:p w14:paraId="1EA2D9FF"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982.80</w:t>
            </w:r>
          </w:p>
        </w:tc>
        <w:tc>
          <w:tcPr>
            <w:tcW w:w="854" w:type="dxa"/>
            <w:tcBorders>
              <w:top w:val="nil"/>
              <w:left w:val="nil"/>
              <w:bottom w:val="single" w:sz="4" w:space="0" w:color="auto"/>
              <w:right w:val="single" w:sz="4" w:space="0" w:color="auto"/>
            </w:tcBorders>
            <w:shd w:val="clear" w:color="auto" w:fill="auto"/>
            <w:vAlign w:val="center"/>
          </w:tcPr>
          <w:p w14:paraId="6891D357"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3D65AA4A"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59" w:type="dxa"/>
            <w:tcBorders>
              <w:top w:val="nil"/>
              <w:left w:val="nil"/>
              <w:bottom w:val="single" w:sz="4" w:space="0" w:color="auto"/>
              <w:right w:val="single" w:sz="4" w:space="0" w:color="auto"/>
            </w:tcBorders>
            <w:shd w:val="clear" w:color="auto" w:fill="auto"/>
            <w:vAlign w:val="center"/>
          </w:tcPr>
          <w:p w14:paraId="0042B220"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830E5E" w14:paraId="62A461B5" w14:textId="77777777">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tcPr>
          <w:p w14:paraId="4AF92601" w14:textId="77777777" w:rsidR="00830E5E" w:rsidRDefault="00830E5E">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5333CDF5"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675" w:type="dxa"/>
            <w:tcBorders>
              <w:top w:val="nil"/>
              <w:left w:val="nil"/>
              <w:bottom w:val="single" w:sz="4" w:space="0" w:color="auto"/>
              <w:right w:val="single" w:sz="4" w:space="0" w:color="auto"/>
            </w:tcBorders>
            <w:shd w:val="clear" w:color="auto" w:fill="auto"/>
            <w:vAlign w:val="center"/>
          </w:tcPr>
          <w:p w14:paraId="05711B01"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89" w:type="dxa"/>
            <w:tcBorders>
              <w:top w:val="nil"/>
              <w:left w:val="nil"/>
              <w:bottom w:val="single" w:sz="4" w:space="0" w:color="auto"/>
              <w:right w:val="single" w:sz="4" w:space="0" w:color="auto"/>
            </w:tcBorders>
            <w:shd w:val="clear" w:color="auto" w:fill="auto"/>
            <w:vAlign w:val="center"/>
          </w:tcPr>
          <w:p w14:paraId="5F25B786"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151.33</w:t>
            </w:r>
          </w:p>
        </w:tc>
        <w:tc>
          <w:tcPr>
            <w:tcW w:w="1442" w:type="dxa"/>
            <w:tcBorders>
              <w:top w:val="nil"/>
              <w:left w:val="nil"/>
              <w:bottom w:val="single" w:sz="4" w:space="0" w:color="auto"/>
              <w:right w:val="single" w:sz="4" w:space="0" w:color="auto"/>
            </w:tcBorders>
            <w:shd w:val="clear" w:color="auto" w:fill="auto"/>
            <w:vAlign w:val="center"/>
          </w:tcPr>
          <w:p w14:paraId="44FE786E"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151.33</w:t>
            </w:r>
          </w:p>
        </w:tc>
        <w:tc>
          <w:tcPr>
            <w:tcW w:w="854" w:type="dxa"/>
            <w:tcBorders>
              <w:top w:val="nil"/>
              <w:left w:val="nil"/>
              <w:bottom w:val="single" w:sz="4" w:space="0" w:color="auto"/>
              <w:right w:val="single" w:sz="4" w:space="0" w:color="auto"/>
            </w:tcBorders>
            <w:shd w:val="clear" w:color="auto" w:fill="auto"/>
            <w:vAlign w:val="center"/>
          </w:tcPr>
          <w:p w14:paraId="715EEB40"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6173E78A"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36868B8D"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30E5E" w14:paraId="62CE86B7" w14:textId="77777777">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tcPr>
          <w:p w14:paraId="57455384" w14:textId="77777777" w:rsidR="00830E5E" w:rsidRDefault="00830E5E">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19A1C4F9"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675" w:type="dxa"/>
            <w:tcBorders>
              <w:top w:val="nil"/>
              <w:left w:val="nil"/>
              <w:bottom w:val="single" w:sz="4" w:space="0" w:color="auto"/>
              <w:right w:val="single" w:sz="4" w:space="0" w:color="auto"/>
            </w:tcBorders>
            <w:shd w:val="clear" w:color="auto" w:fill="auto"/>
            <w:vAlign w:val="center"/>
          </w:tcPr>
          <w:p w14:paraId="6E0E4C03"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89" w:type="dxa"/>
            <w:tcBorders>
              <w:top w:val="nil"/>
              <w:left w:val="nil"/>
              <w:bottom w:val="single" w:sz="4" w:space="0" w:color="auto"/>
              <w:right w:val="single" w:sz="4" w:space="0" w:color="auto"/>
            </w:tcBorders>
            <w:shd w:val="clear" w:color="auto" w:fill="auto"/>
            <w:vAlign w:val="center"/>
          </w:tcPr>
          <w:p w14:paraId="3586FAD6"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42" w:type="dxa"/>
            <w:tcBorders>
              <w:top w:val="nil"/>
              <w:left w:val="nil"/>
              <w:bottom w:val="single" w:sz="4" w:space="0" w:color="auto"/>
              <w:right w:val="single" w:sz="4" w:space="0" w:color="auto"/>
            </w:tcBorders>
            <w:shd w:val="clear" w:color="auto" w:fill="auto"/>
            <w:vAlign w:val="center"/>
          </w:tcPr>
          <w:p w14:paraId="1651C560"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54" w:type="dxa"/>
            <w:tcBorders>
              <w:top w:val="nil"/>
              <w:left w:val="nil"/>
              <w:bottom w:val="single" w:sz="4" w:space="0" w:color="auto"/>
              <w:right w:val="single" w:sz="4" w:space="0" w:color="auto"/>
            </w:tcBorders>
            <w:shd w:val="clear" w:color="auto" w:fill="auto"/>
            <w:vAlign w:val="center"/>
          </w:tcPr>
          <w:p w14:paraId="5A0DC159"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5CBF6C7D"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36B1EC99"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30E5E" w14:paraId="7767C553" w14:textId="77777777">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tcPr>
          <w:p w14:paraId="28131238" w14:textId="77777777" w:rsidR="00830E5E" w:rsidRDefault="00830E5E">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7EAEABDB"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675" w:type="dxa"/>
            <w:tcBorders>
              <w:top w:val="nil"/>
              <w:left w:val="nil"/>
              <w:bottom w:val="single" w:sz="4" w:space="0" w:color="auto"/>
              <w:right w:val="single" w:sz="4" w:space="0" w:color="auto"/>
            </w:tcBorders>
            <w:shd w:val="clear" w:color="auto" w:fill="auto"/>
            <w:vAlign w:val="center"/>
          </w:tcPr>
          <w:p w14:paraId="0E03F5A2"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161.09</w:t>
            </w:r>
          </w:p>
        </w:tc>
        <w:tc>
          <w:tcPr>
            <w:tcW w:w="1389" w:type="dxa"/>
            <w:tcBorders>
              <w:top w:val="nil"/>
              <w:left w:val="nil"/>
              <w:bottom w:val="single" w:sz="4" w:space="0" w:color="auto"/>
              <w:right w:val="single" w:sz="4" w:space="0" w:color="auto"/>
            </w:tcBorders>
            <w:shd w:val="clear" w:color="auto" w:fill="auto"/>
            <w:vAlign w:val="center"/>
          </w:tcPr>
          <w:p w14:paraId="48F3121B"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163.63</w:t>
            </w:r>
          </w:p>
        </w:tc>
        <w:tc>
          <w:tcPr>
            <w:tcW w:w="1442" w:type="dxa"/>
            <w:tcBorders>
              <w:top w:val="nil"/>
              <w:left w:val="nil"/>
              <w:bottom w:val="single" w:sz="4" w:space="0" w:color="auto"/>
              <w:right w:val="single" w:sz="4" w:space="0" w:color="auto"/>
            </w:tcBorders>
            <w:shd w:val="clear" w:color="auto" w:fill="auto"/>
            <w:vAlign w:val="center"/>
          </w:tcPr>
          <w:p w14:paraId="300A6FE0"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163.63</w:t>
            </w:r>
          </w:p>
        </w:tc>
        <w:tc>
          <w:tcPr>
            <w:tcW w:w="854" w:type="dxa"/>
            <w:tcBorders>
              <w:top w:val="nil"/>
              <w:left w:val="nil"/>
              <w:bottom w:val="single" w:sz="4" w:space="0" w:color="auto"/>
              <w:right w:val="single" w:sz="4" w:space="0" w:color="auto"/>
            </w:tcBorders>
            <w:shd w:val="clear" w:color="auto" w:fill="auto"/>
            <w:vAlign w:val="center"/>
          </w:tcPr>
          <w:p w14:paraId="1B72A497" w14:textId="77777777" w:rsidR="00830E5E" w:rsidRDefault="00000000">
            <w:pPr>
              <w:widowControl/>
              <w:jc w:val="center"/>
              <w:rPr>
                <w:rFonts w:ascii="宋体" w:hAnsi="宋体" w:cs="宋体" w:hint="eastAsia"/>
                <w:kern w:val="0"/>
                <w:sz w:val="20"/>
                <w:szCs w:val="20"/>
              </w:rPr>
            </w:pPr>
            <w:r>
              <w:rPr>
                <w:rFonts w:hint="eastAsia"/>
              </w:rPr>
              <w:t>-</w:t>
            </w:r>
          </w:p>
        </w:tc>
        <w:tc>
          <w:tcPr>
            <w:tcW w:w="709" w:type="dxa"/>
            <w:tcBorders>
              <w:top w:val="nil"/>
              <w:left w:val="nil"/>
              <w:bottom w:val="single" w:sz="4" w:space="0" w:color="auto"/>
              <w:right w:val="single" w:sz="4" w:space="0" w:color="auto"/>
            </w:tcBorders>
            <w:shd w:val="clear" w:color="auto" w:fill="auto"/>
            <w:vAlign w:val="center"/>
          </w:tcPr>
          <w:p w14:paraId="182101E2" w14:textId="77777777" w:rsidR="00830E5E" w:rsidRDefault="00000000">
            <w:pPr>
              <w:widowControl/>
              <w:jc w:val="center"/>
              <w:rPr>
                <w:rFonts w:ascii="宋体" w:hAnsi="宋体" w:cs="宋体" w:hint="eastAsia"/>
                <w:kern w:val="0"/>
                <w:sz w:val="20"/>
                <w:szCs w:val="20"/>
              </w:rPr>
            </w:pPr>
            <w:r>
              <w:rPr>
                <w:rFonts w:hint="eastAsia"/>
              </w:rPr>
              <w:t>-</w:t>
            </w:r>
          </w:p>
        </w:tc>
        <w:tc>
          <w:tcPr>
            <w:tcW w:w="759" w:type="dxa"/>
            <w:tcBorders>
              <w:top w:val="nil"/>
              <w:left w:val="nil"/>
              <w:bottom w:val="single" w:sz="4" w:space="0" w:color="auto"/>
              <w:right w:val="single" w:sz="4" w:space="0" w:color="auto"/>
            </w:tcBorders>
            <w:shd w:val="clear" w:color="auto" w:fill="auto"/>
            <w:vAlign w:val="center"/>
          </w:tcPr>
          <w:p w14:paraId="45520A73" w14:textId="77777777" w:rsidR="00830E5E" w:rsidRDefault="00000000">
            <w:pPr>
              <w:widowControl/>
              <w:jc w:val="center"/>
              <w:rPr>
                <w:rFonts w:ascii="宋体" w:hAnsi="宋体" w:cs="宋体" w:hint="eastAsia"/>
                <w:kern w:val="0"/>
                <w:sz w:val="20"/>
                <w:szCs w:val="20"/>
              </w:rPr>
            </w:pPr>
            <w:r>
              <w:rPr>
                <w:rFonts w:hint="eastAsia"/>
              </w:rPr>
              <w:t>-</w:t>
            </w:r>
          </w:p>
        </w:tc>
      </w:tr>
      <w:tr w:rsidR="00830E5E" w14:paraId="4641A4BF" w14:textId="77777777">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tcPr>
          <w:p w14:paraId="630A0267" w14:textId="77777777" w:rsidR="00830E5E" w:rsidRDefault="00830E5E">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120B0FFF"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675" w:type="dxa"/>
            <w:tcBorders>
              <w:top w:val="nil"/>
              <w:left w:val="nil"/>
              <w:bottom w:val="single" w:sz="4" w:space="0" w:color="auto"/>
              <w:right w:val="single" w:sz="4" w:space="0" w:color="auto"/>
            </w:tcBorders>
            <w:shd w:val="clear" w:color="auto" w:fill="auto"/>
            <w:vAlign w:val="center"/>
          </w:tcPr>
          <w:p w14:paraId="4D7176AA"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389" w:type="dxa"/>
            <w:tcBorders>
              <w:top w:val="nil"/>
              <w:left w:val="nil"/>
              <w:bottom w:val="single" w:sz="4" w:space="0" w:color="auto"/>
              <w:right w:val="single" w:sz="4" w:space="0" w:color="auto"/>
            </w:tcBorders>
            <w:shd w:val="clear" w:color="auto" w:fill="auto"/>
            <w:vAlign w:val="center"/>
          </w:tcPr>
          <w:p w14:paraId="14E2271C"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42" w:type="dxa"/>
            <w:tcBorders>
              <w:top w:val="nil"/>
              <w:left w:val="nil"/>
              <w:bottom w:val="single" w:sz="4" w:space="0" w:color="auto"/>
              <w:right w:val="single" w:sz="4" w:space="0" w:color="auto"/>
            </w:tcBorders>
            <w:shd w:val="clear" w:color="auto" w:fill="auto"/>
            <w:vAlign w:val="center"/>
          </w:tcPr>
          <w:p w14:paraId="43031E5C"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54" w:type="dxa"/>
            <w:tcBorders>
              <w:top w:val="nil"/>
              <w:left w:val="nil"/>
              <w:bottom w:val="single" w:sz="4" w:space="0" w:color="auto"/>
              <w:right w:val="single" w:sz="4" w:space="0" w:color="auto"/>
            </w:tcBorders>
            <w:shd w:val="clear" w:color="auto" w:fill="auto"/>
            <w:vAlign w:val="center"/>
          </w:tcPr>
          <w:p w14:paraId="69B08A4F" w14:textId="77777777" w:rsidR="00830E5E" w:rsidRDefault="00000000">
            <w:pPr>
              <w:widowControl/>
              <w:jc w:val="center"/>
              <w:rPr>
                <w:rFonts w:ascii="宋体" w:hAnsi="宋体" w:cs="宋体" w:hint="eastAsia"/>
                <w:kern w:val="0"/>
                <w:sz w:val="20"/>
                <w:szCs w:val="20"/>
              </w:rPr>
            </w:pPr>
            <w:r>
              <w:rPr>
                <w:rFonts w:hint="eastAsia"/>
              </w:rPr>
              <w:t>-</w:t>
            </w:r>
          </w:p>
        </w:tc>
        <w:tc>
          <w:tcPr>
            <w:tcW w:w="709" w:type="dxa"/>
            <w:tcBorders>
              <w:top w:val="nil"/>
              <w:left w:val="nil"/>
              <w:bottom w:val="single" w:sz="4" w:space="0" w:color="auto"/>
              <w:right w:val="single" w:sz="4" w:space="0" w:color="auto"/>
            </w:tcBorders>
            <w:shd w:val="clear" w:color="auto" w:fill="auto"/>
            <w:vAlign w:val="center"/>
          </w:tcPr>
          <w:p w14:paraId="34B6DF34" w14:textId="77777777" w:rsidR="00830E5E" w:rsidRDefault="00000000">
            <w:pPr>
              <w:widowControl/>
              <w:jc w:val="center"/>
              <w:rPr>
                <w:rFonts w:ascii="宋体" w:hAnsi="宋体" w:cs="宋体" w:hint="eastAsia"/>
                <w:kern w:val="0"/>
                <w:sz w:val="20"/>
                <w:szCs w:val="20"/>
              </w:rPr>
            </w:pPr>
            <w:r>
              <w:rPr>
                <w:rFonts w:hint="eastAsia"/>
              </w:rPr>
              <w:t>-</w:t>
            </w:r>
          </w:p>
        </w:tc>
        <w:tc>
          <w:tcPr>
            <w:tcW w:w="759" w:type="dxa"/>
            <w:tcBorders>
              <w:top w:val="nil"/>
              <w:left w:val="nil"/>
              <w:bottom w:val="single" w:sz="4" w:space="0" w:color="auto"/>
              <w:right w:val="single" w:sz="4" w:space="0" w:color="auto"/>
            </w:tcBorders>
            <w:shd w:val="clear" w:color="auto" w:fill="auto"/>
            <w:vAlign w:val="center"/>
          </w:tcPr>
          <w:p w14:paraId="669D93F2" w14:textId="77777777" w:rsidR="00830E5E" w:rsidRDefault="00000000">
            <w:pPr>
              <w:widowControl/>
              <w:jc w:val="center"/>
              <w:rPr>
                <w:rFonts w:ascii="宋体" w:hAnsi="宋体" w:cs="宋体" w:hint="eastAsia"/>
                <w:kern w:val="0"/>
                <w:sz w:val="20"/>
                <w:szCs w:val="20"/>
              </w:rPr>
            </w:pPr>
            <w:r>
              <w:rPr>
                <w:rFonts w:hint="eastAsia"/>
              </w:rPr>
              <w:t>-</w:t>
            </w:r>
          </w:p>
        </w:tc>
      </w:tr>
      <w:tr w:rsidR="00830E5E" w14:paraId="73E41E1D" w14:textId="77777777">
        <w:trPr>
          <w:trHeight w:val="879"/>
          <w:jc w:val="center"/>
        </w:trPr>
        <w:tc>
          <w:tcPr>
            <w:tcW w:w="878" w:type="dxa"/>
            <w:vMerge/>
            <w:tcBorders>
              <w:top w:val="single" w:sz="4" w:space="0" w:color="auto"/>
              <w:left w:val="single" w:sz="4" w:space="0" w:color="auto"/>
              <w:bottom w:val="single" w:sz="4" w:space="0" w:color="auto"/>
              <w:right w:val="single" w:sz="4" w:space="0" w:color="auto"/>
            </w:tcBorders>
            <w:vAlign w:val="center"/>
          </w:tcPr>
          <w:p w14:paraId="5F5A1A90" w14:textId="77777777" w:rsidR="00830E5E" w:rsidRDefault="00830E5E">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1EB9E4B9"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675" w:type="dxa"/>
            <w:tcBorders>
              <w:top w:val="nil"/>
              <w:left w:val="nil"/>
              <w:bottom w:val="single" w:sz="4" w:space="0" w:color="auto"/>
              <w:right w:val="single" w:sz="4" w:space="0" w:color="auto"/>
            </w:tcBorders>
            <w:shd w:val="clear" w:color="auto" w:fill="auto"/>
            <w:vAlign w:val="center"/>
          </w:tcPr>
          <w:p w14:paraId="5C8861F3"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161.09</w:t>
            </w:r>
          </w:p>
        </w:tc>
        <w:tc>
          <w:tcPr>
            <w:tcW w:w="1389" w:type="dxa"/>
            <w:tcBorders>
              <w:top w:val="nil"/>
              <w:left w:val="nil"/>
              <w:bottom w:val="single" w:sz="4" w:space="0" w:color="auto"/>
              <w:right w:val="single" w:sz="4" w:space="0" w:color="auto"/>
            </w:tcBorders>
            <w:shd w:val="clear" w:color="auto" w:fill="auto"/>
            <w:vAlign w:val="center"/>
          </w:tcPr>
          <w:p w14:paraId="772291D3"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1,297.76</w:t>
            </w:r>
          </w:p>
        </w:tc>
        <w:tc>
          <w:tcPr>
            <w:tcW w:w="1442" w:type="dxa"/>
            <w:tcBorders>
              <w:top w:val="nil"/>
              <w:left w:val="nil"/>
              <w:bottom w:val="single" w:sz="4" w:space="0" w:color="auto"/>
              <w:right w:val="single" w:sz="4" w:space="0" w:color="auto"/>
            </w:tcBorders>
            <w:shd w:val="clear" w:color="auto" w:fill="auto"/>
            <w:vAlign w:val="center"/>
          </w:tcPr>
          <w:p w14:paraId="044130BC"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1,297.76</w:t>
            </w:r>
          </w:p>
        </w:tc>
        <w:tc>
          <w:tcPr>
            <w:tcW w:w="854" w:type="dxa"/>
            <w:tcBorders>
              <w:top w:val="nil"/>
              <w:left w:val="nil"/>
              <w:bottom w:val="single" w:sz="4" w:space="0" w:color="auto"/>
              <w:right w:val="single" w:sz="4" w:space="0" w:color="auto"/>
            </w:tcBorders>
            <w:shd w:val="clear" w:color="auto" w:fill="auto"/>
            <w:vAlign w:val="center"/>
          </w:tcPr>
          <w:p w14:paraId="53F7511F"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51EFEE46"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59" w:type="dxa"/>
            <w:tcBorders>
              <w:top w:val="nil"/>
              <w:left w:val="nil"/>
              <w:bottom w:val="single" w:sz="4" w:space="0" w:color="auto"/>
              <w:right w:val="single" w:sz="4" w:space="0" w:color="auto"/>
            </w:tcBorders>
            <w:shd w:val="clear" w:color="auto" w:fill="auto"/>
            <w:vAlign w:val="center"/>
          </w:tcPr>
          <w:p w14:paraId="7C94CF5D"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30E5E" w14:paraId="63D1058F" w14:textId="77777777">
        <w:trPr>
          <w:trHeight w:val="705"/>
          <w:jc w:val="cent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643E24"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880" w:type="dxa"/>
            <w:gridSpan w:val="3"/>
            <w:tcBorders>
              <w:top w:val="single" w:sz="4" w:space="0" w:color="auto"/>
              <w:left w:val="nil"/>
              <w:bottom w:val="single" w:sz="4" w:space="0" w:color="auto"/>
              <w:right w:val="single" w:sz="4" w:space="0" w:color="auto"/>
            </w:tcBorders>
            <w:shd w:val="clear" w:color="auto" w:fill="auto"/>
            <w:noWrap/>
            <w:vAlign w:val="center"/>
          </w:tcPr>
          <w:p w14:paraId="4DB0AB71"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764" w:type="dxa"/>
            <w:gridSpan w:val="4"/>
            <w:tcBorders>
              <w:top w:val="single" w:sz="4" w:space="0" w:color="auto"/>
              <w:left w:val="nil"/>
              <w:bottom w:val="single" w:sz="4" w:space="0" w:color="auto"/>
              <w:right w:val="single" w:sz="4" w:space="0" w:color="auto"/>
            </w:tcBorders>
            <w:shd w:val="clear" w:color="auto" w:fill="auto"/>
            <w:noWrap/>
            <w:vAlign w:val="center"/>
          </w:tcPr>
          <w:p w14:paraId="0DADE904"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830E5E" w14:paraId="7C9CFED3" w14:textId="77777777">
        <w:trPr>
          <w:trHeight w:val="2001"/>
          <w:jc w:val="center"/>
        </w:trPr>
        <w:tc>
          <w:tcPr>
            <w:tcW w:w="878" w:type="dxa"/>
            <w:vMerge/>
            <w:tcBorders>
              <w:top w:val="single" w:sz="4" w:space="0" w:color="auto"/>
              <w:left w:val="single" w:sz="4" w:space="0" w:color="auto"/>
              <w:bottom w:val="single" w:sz="4" w:space="0" w:color="auto"/>
              <w:right w:val="single" w:sz="4" w:space="0" w:color="auto"/>
            </w:tcBorders>
            <w:vAlign w:val="center"/>
          </w:tcPr>
          <w:p w14:paraId="64CF273F" w14:textId="77777777" w:rsidR="00830E5E" w:rsidRDefault="00830E5E">
            <w:pPr>
              <w:widowControl/>
              <w:jc w:val="left"/>
              <w:rPr>
                <w:rFonts w:ascii="宋体" w:hAnsi="宋体" w:cs="宋体" w:hint="eastAsia"/>
                <w:kern w:val="0"/>
                <w:sz w:val="20"/>
                <w:szCs w:val="20"/>
              </w:rPr>
            </w:pPr>
          </w:p>
        </w:tc>
        <w:tc>
          <w:tcPr>
            <w:tcW w:w="3880" w:type="dxa"/>
            <w:gridSpan w:val="3"/>
            <w:tcBorders>
              <w:top w:val="single" w:sz="4" w:space="0" w:color="auto"/>
              <w:left w:val="nil"/>
              <w:bottom w:val="single" w:sz="4" w:space="0" w:color="auto"/>
              <w:right w:val="single" w:sz="4" w:space="0" w:color="auto"/>
            </w:tcBorders>
            <w:shd w:val="clear" w:color="auto" w:fill="auto"/>
            <w:vAlign w:val="center"/>
          </w:tcPr>
          <w:p w14:paraId="7A219617"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开展“六五环境日”专场宣讲1场次、“五进”宣教10场次，组织企业开展法律法规培训4次；扎实推进冬季大气污染综合治理，全面完成65蒸吨以下燃煤锅炉淘汰整治58台，环境空气质量优良率保持97%以上,PM2.5浓度持续低于12.9微克每立方米；做好区域水环境治理监管，切实保障集中式饮用水水源水质达标率稳定在100%；至少完成2次集中式饮用水水源地规范化建设及环境安全和黑臭水体排查整治；开展环境应急演练不少于1次，风险源企业突发环境事件应急预案备案率达到90%以上。</w:t>
            </w:r>
          </w:p>
        </w:tc>
        <w:tc>
          <w:tcPr>
            <w:tcW w:w="3764" w:type="dxa"/>
            <w:gridSpan w:val="4"/>
            <w:tcBorders>
              <w:top w:val="single" w:sz="4" w:space="0" w:color="auto"/>
              <w:left w:val="nil"/>
              <w:bottom w:val="single" w:sz="4" w:space="0" w:color="auto"/>
              <w:right w:val="single" w:sz="4" w:space="0" w:color="auto"/>
            </w:tcBorders>
            <w:shd w:val="clear" w:color="auto" w:fill="auto"/>
            <w:vAlign w:val="center"/>
          </w:tcPr>
          <w:p w14:paraId="7587FA5F"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2023年部门整体自评，我单位已完成如下工作：保障办公人员数量11人，公务保障用车数量1辆，环境应急演练数量1次。开展“六五环境日”专场宣讲1场次、“五进”宣教10场次，组织企业开展法律法规培训4次；扎实推进冬季大气污染综合治理，全面完成65蒸吨以下燃煤锅炉淘汰整治58台，环境空气质量优良率保持97%以上,PM2.5浓度持续低于12.9微克每立方米；做好区域水环境治理监管，切实保障集中式饮用水水源水质达标率稳定在100%；至少完成2次集中式饮用水水源地规范化建设及环境安全和黑臭水体排查整治；开展环境应急演练不少于1次，风险源企业突发环境事件应急预案备案率达到90%以上。</w:t>
            </w:r>
          </w:p>
        </w:tc>
      </w:tr>
      <w:tr w:rsidR="00830E5E" w14:paraId="630F69F7" w14:textId="77777777">
        <w:trPr>
          <w:trHeight w:val="579"/>
          <w:jc w:val="center"/>
        </w:trPr>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DE8EFA5"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816" w:type="dxa"/>
            <w:tcBorders>
              <w:top w:val="nil"/>
              <w:left w:val="nil"/>
              <w:bottom w:val="single" w:sz="4" w:space="0" w:color="auto"/>
              <w:right w:val="single" w:sz="4" w:space="0" w:color="auto"/>
            </w:tcBorders>
            <w:shd w:val="clear" w:color="auto" w:fill="auto"/>
            <w:vAlign w:val="center"/>
          </w:tcPr>
          <w:p w14:paraId="5C3E64AE"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675" w:type="dxa"/>
            <w:tcBorders>
              <w:top w:val="nil"/>
              <w:left w:val="nil"/>
              <w:bottom w:val="single" w:sz="4" w:space="0" w:color="auto"/>
              <w:right w:val="single" w:sz="4" w:space="0" w:color="auto"/>
            </w:tcBorders>
            <w:shd w:val="clear" w:color="auto" w:fill="auto"/>
            <w:vAlign w:val="center"/>
          </w:tcPr>
          <w:p w14:paraId="60A95BF3"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389" w:type="dxa"/>
            <w:tcBorders>
              <w:top w:val="nil"/>
              <w:left w:val="nil"/>
              <w:bottom w:val="single" w:sz="4" w:space="0" w:color="auto"/>
              <w:right w:val="single" w:sz="4" w:space="0" w:color="auto"/>
            </w:tcBorders>
            <w:shd w:val="clear" w:color="auto" w:fill="auto"/>
            <w:vAlign w:val="center"/>
          </w:tcPr>
          <w:p w14:paraId="5C3952F7"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442" w:type="dxa"/>
            <w:tcBorders>
              <w:top w:val="nil"/>
              <w:left w:val="nil"/>
              <w:bottom w:val="single" w:sz="4" w:space="0" w:color="auto"/>
              <w:right w:val="single" w:sz="4" w:space="0" w:color="auto"/>
            </w:tcBorders>
            <w:shd w:val="clear" w:color="auto" w:fill="auto"/>
            <w:vAlign w:val="center"/>
          </w:tcPr>
          <w:p w14:paraId="1E30B7D5"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854" w:type="dxa"/>
            <w:tcBorders>
              <w:top w:val="nil"/>
              <w:left w:val="nil"/>
              <w:bottom w:val="single" w:sz="4" w:space="0" w:color="auto"/>
              <w:right w:val="single" w:sz="4" w:space="0" w:color="auto"/>
            </w:tcBorders>
            <w:shd w:val="clear" w:color="auto" w:fill="auto"/>
            <w:vAlign w:val="center"/>
          </w:tcPr>
          <w:p w14:paraId="4E0921A6"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709" w:type="dxa"/>
            <w:tcBorders>
              <w:top w:val="nil"/>
              <w:left w:val="nil"/>
              <w:bottom w:val="single" w:sz="4" w:space="0" w:color="auto"/>
              <w:right w:val="single" w:sz="4" w:space="0" w:color="auto"/>
            </w:tcBorders>
            <w:shd w:val="clear" w:color="auto" w:fill="auto"/>
            <w:vAlign w:val="center"/>
          </w:tcPr>
          <w:p w14:paraId="4F5CAAC8"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59" w:type="dxa"/>
            <w:tcBorders>
              <w:top w:val="nil"/>
              <w:left w:val="nil"/>
              <w:bottom w:val="single" w:sz="4" w:space="0" w:color="auto"/>
              <w:right w:val="single" w:sz="4" w:space="0" w:color="auto"/>
            </w:tcBorders>
            <w:shd w:val="clear" w:color="auto" w:fill="auto"/>
            <w:vAlign w:val="center"/>
          </w:tcPr>
          <w:p w14:paraId="31108D74"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830E5E" w14:paraId="48F21159" w14:textId="77777777">
        <w:trPr>
          <w:trHeight w:val="741"/>
          <w:jc w:val="cent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6105DD"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运行成本</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622AE705"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675" w:type="dxa"/>
            <w:tcBorders>
              <w:top w:val="nil"/>
              <w:left w:val="nil"/>
              <w:bottom w:val="single" w:sz="4" w:space="0" w:color="auto"/>
              <w:right w:val="single" w:sz="4" w:space="0" w:color="auto"/>
            </w:tcBorders>
            <w:shd w:val="clear" w:color="auto" w:fill="auto"/>
            <w:vAlign w:val="center"/>
          </w:tcPr>
          <w:p w14:paraId="22ED8EB3"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389" w:type="dxa"/>
            <w:tcBorders>
              <w:top w:val="nil"/>
              <w:left w:val="nil"/>
              <w:bottom w:val="single" w:sz="4" w:space="0" w:color="auto"/>
              <w:right w:val="single" w:sz="4" w:space="0" w:color="auto"/>
            </w:tcBorders>
            <w:shd w:val="clear" w:color="auto" w:fill="auto"/>
            <w:vAlign w:val="center"/>
          </w:tcPr>
          <w:p w14:paraId="0E882160"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≥11人</w:t>
            </w:r>
          </w:p>
        </w:tc>
        <w:tc>
          <w:tcPr>
            <w:tcW w:w="1442" w:type="dxa"/>
            <w:tcBorders>
              <w:top w:val="nil"/>
              <w:left w:val="nil"/>
              <w:bottom w:val="single" w:sz="4" w:space="0" w:color="auto"/>
              <w:right w:val="single" w:sz="4" w:space="0" w:color="auto"/>
            </w:tcBorders>
            <w:shd w:val="clear" w:color="auto" w:fill="auto"/>
            <w:vAlign w:val="center"/>
          </w:tcPr>
          <w:p w14:paraId="17752A22"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昌吉回族自治州生态环境局职能配置、内设机构和人员编制规定</w:t>
            </w:r>
          </w:p>
        </w:tc>
        <w:tc>
          <w:tcPr>
            <w:tcW w:w="854" w:type="dxa"/>
            <w:tcBorders>
              <w:top w:val="nil"/>
              <w:left w:val="nil"/>
              <w:bottom w:val="single" w:sz="4" w:space="0" w:color="auto"/>
              <w:right w:val="single" w:sz="4" w:space="0" w:color="auto"/>
            </w:tcBorders>
            <w:shd w:val="clear" w:color="auto" w:fill="auto"/>
            <w:vAlign w:val="center"/>
          </w:tcPr>
          <w:p w14:paraId="04DE0E0E"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55CDEF4C"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11人</w:t>
            </w:r>
          </w:p>
        </w:tc>
        <w:tc>
          <w:tcPr>
            <w:tcW w:w="759" w:type="dxa"/>
            <w:tcBorders>
              <w:top w:val="nil"/>
              <w:left w:val="nil"/>
              <w:bottom w:val="single" w:sz="4" w:space="0" w:color="auto"/>
              <w:right w:val="single" w:sz="4" w:space="0" w:color="auto"/>
            </w:tcBorders>
            <w:shd w:val="clear" w:color="auto" w:fill="auto"/>
            <w:vAlign w:val="center"/>
          </w:tcPr>
          <w:p w14:paraId="586229FF"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830E5E" w14:paraId="6326C219" w14:textId="77777777">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tcPr>
          <w:p w14:paraId="09906AE3" w14:textId="77777777" w:rsidR="00830E5E" w:rsidRDefault="00830E5E">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4613AFE" w14:textId="77777777" w:rsidR="00830E5E" w:rsidRDefault="00830E5E">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2120E26A"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1389" w:type="dxa"/>
            <w:tcBorders>
              <w:top w:val="nil"/>
              <w:left w:val="nil"/>
              <w:bottom w:val="single" w:sz="4" w:space="0" w:color="auto"/>
              <w:right w:val="single" w:sz="4" w:space="0" w:color="auto"/>
            </w:tcBorders>
            <w:shd w:val="clear" w:color="auto" w:fill="auto"/>
            <w:vAlign w:val="center"/>
          </w:tcPr>
          <w:p w14:paraId="059AC292"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≥1辆</w:t>
            </w:r>
          </w:p>
        </w:tc>
        <w:tc>
          <w:tcPr>
            <w:tcW w:w="1442" w:type="dxa"/>
            <w:tcBorders>
              <w:top w:val="nil"/>
              <w:left w:val="nil"/>
              <w:bottom w:val="single" w:sz="4" w:space="0" w:color="auto"/>
              <w:right w:val="single" w:sz="4" w:space="0" w:color="auto"/>
            </w:tcBorders>
            <w:shd w:val="clear" w:color="auto" w:fill="auto"/>
            <w:vAlign w:val="center"/>
          </w:tcPr>
          <w:p w14:paraId="1D270826"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昌吉回族自治州生态环境局职能配置、内设机构和人员编制规定</w:t>
            </w:r>
          </w:p>
        </w:tc>
        <w:tc>
          <w:tcPr>
            <w:tcW w:w="854" w:type="dxa"/>
            <w:tcBorders>
              <w:top w:val="nil"/>
              <w:left w:val="nil"/>
              <w:bottom w:val="single" w:sz="4" w:space="0" w:color="auto"/>
              <w:right w:val="single" w:sz="4" w:space="0" w:color="auto"/>
            </w:tcBorders>
            <w:shd w:val="clear" w:color="auto" w:fill="auto"/>
            <w:vAlign w:val="center"/>
          </w:tcPr>
          <w:p w14:paraId="7D705A9D"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709" w:type="dxa"/>
            <w:tcBorders>
              <w:top w:val="nil"/>
              <w:left w:val="nil"/>
              <w:bottom w:val="single" w:sz="4" w:space="0" w:color="auto"/>
              <w:right w:val="single" w:sz="4" w:space="0" w:color="auto"/>
            </w:tcBorders>
            <w:shd w:val="clear" w:color="auto" w:fill="auto"/>
            <w:vAlign w:val="center"/>
          </w:tcPr>
          <w:p w14:paraId="5A513DCF"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1辆</w:t>
            </w:r>
          </w:p>
        </w:tc>
        <w:tc>
          <w:tcPr>
            <w:tcW w:w="759" w:type="dxa"/>
            <w:tcBorders>
              <w:top w:val="nil"/>
              <w:left w:val="nil"/>
              <w:bottom w:val="single" w:sz="4" w:space="0" w:color="auto"/>
              <w:right w:val="single" w:sz="4" w:space="0" w:color="auto"/>
            </w:tcBorders>
            <w:shd w:val="clear" w:color="auto" w:fill="auto"/>
            <w:vAlign w:val="center"/>
          </w:tcPr>
          <w:p w14:paraId="79BD02F1"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830E5E" w14:paraId="6CD61C0F" w14:textId="77777777">
        <w:trPr>
          <w:trHeight w:val="741"/>
          <w:jc w:val="center"/>
        </w:trPr>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0F11E4F"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816" w:type="dxa"/>
            <w:tcBorders>
              <w:top w:val="nil"/>
              <w:left w:val="nil"/>
              <w:bottom w:val="single" w:sz="4" w:space="0" w:color="auto"/>
              <w:right w:val="single" w:sz="4" w:space="0" w:color="auto"/>
            </w:tcBorders>
            <w:shd w:val="clear" w:color="auto" w:fill="auto"/>
            <w:vAlign w:val="center"/>
          </w:tcPr>
          <w:p w14:paraId="1D24A5C0"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675" w:type="dxa"/>
            <w:tcBorders>
              <w:top w:val="nil"/>
              <w:left w:val="nil"/>
              <w:bottom w:val="single" w:sz="4" w:space="0" w:color="auto"/>
              <w:right w:val="single" w:sz="4" w:space="0" w:color="auto"/>
            </w:tcBorders>
            <w:shd w:val="clear" w:color="auto" w:fill="auto"/>
            <w:vAlign w:val="center"/>
          </w:tcPr>
          <w:p w14:paraId="21F7838E"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vAlign w:val="center"/>
          </w:tcPr>
          <w:p w14:paraId="2F7E9908"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442" w:type="dxa"/>
            <w:tcBorders>
              <w:top w:val="nil"/>
              <w:left w:val="nil"/>
              <w:bottom w:val="single" w:sz="4" w:space="0" w:color="auto"/>
              <w:right w:val="single" w:sz="4" w:space="0" w:color="auto"/>
            </w:tcBorders>
            <w:shd w:val="clear" w:color="auto" w:fill="auto"/>
            <w:vAlign w:val="center"/>
          </w:tcPr>
          <w:p w14:paraId="26C19575"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54" w:type="dxa"/>
            <w:tcBorders>
              <w:top w:val="nil"/>
              <w:left w:val="nil"/>
              <w:bottom w:val="single" w:sz="4" w:space="0" w:color="auto"/>
              <w:right w:val="single" w:sz="4" w:space="0" w:color="auto"/>
            </w:tcBorders>
            <w:shd w:val="clear" w:color="auto" w:fill="auto"/>
            <w:vAlign w:val="center"/>
          </w:tcPr>
          <w:p w14:paraId="6B8F8344"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7BABB8C4"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vAlign w:val="center"/>
          </w:tcPr>
          <w:p w14:paraId="05DC3B28"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830E5E" w14:paraId="5145AB6E" w14:textId="77777777">
        <w:trPr>
          <w:trHeight w:val="741"/>
          <w:jc w:val="center"/>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FF63EE"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816" w:type="dxa"/>
            <w:tcBorders>
              <w:top w:val="nil"/>
              <w:left w:val="nil"/>
              <w:bottom w:val="single" w:sz="4" w:space="0" w:color="auto"/>
              <w:right w:val="single" w:sz="4" w:space="0" w:color="auto"/>
            </w:tcBorders>
            <w:shd w:val="clear" w:color="auto" w:fill="auto"/>
            <w:vAlign w:val="center"/>
          </w:tcPr>
          <w:p w14:paraId="1CA9A4AA"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675" w:type="dxa"/>
            <w:tcBorders>
              <w:top w:val="nil"/>
              <w:left w:val="nil"/>
              <w:bottom w:val="single" w:sz="4" w:space="0" w:color="auto"/>
              <w:right w:val="single" w:sz="4" w:space="0" w:color="auto"/>
            </w:tcBorders>
            <w:shd w:val="clear" w:color="auto" w:fill="auto"/>
            <w:vAlign w:val="center"/>
          </w:tcPr>
          <w:p w14:paraId="331EC355"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空气质量综合指数</w:t>
            </w:r>
          </w:p>
        </w:tc>
        <w:tc>
          <w:tcPr>
            <w:tcW w:w="1389" w:type="dxa"/>
            <w:tcBorders>
              <w:top w:val="nil"/>
              <w:left w:val="nil"/>
              <w:bottom w:val="single" w:sz="4" w:space="0" w:color="auto"/>
              <w:right w:val="single" w:sz="4" w:space="0" w:color="auto"/>
            </w:tcBorders>
            <w:shd w:val="clear" w:color="auto" w:fill="auto"/>
            <w:vAlign w:val="center"/>
          </w:tcPr>
          <w:p w14:paraId="3E3868D9"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≥90%</w:t>
            </w:r>
          </w:p>
        </w:tc>
        <w:tc>
          <w:tcPr>
            <w:tcW w:w="1442" w:type="dxa"/>
            <w:tcBorders>
              <w:top w:val="nil"/>
              <w:left w:val="nil"/>
              <w:bottom w:val="single" w:sz="4" w:space="0" w:color="auto"/>
              <w:right w:val="single" w:sz="4" w:space="0" w:color="auto"/>
            </w:tcBorders>
            <w:shd w:val="clear" w:color="auto" w:fill="auto"/>
            <w:vAlign w:val="center"/>
          </w:tcPr>
          <w:p w14:paraId="151B25ED"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昌吉回族自治州生态环境局木垒县分局2023年工作计划</w:t>
            </w:r>
          </w:p>
        </w:tc>
        <w:tc>
          <w:tcPr>
            <w:tcW w:w="854" w:type="dxa"/>
            <w:tcBorders>
              <w:top w:val="nil"/>
              <w:left w:val="nil"/>
              <w:bottom w:val="single" w:sz="4" w:space="0" w:color="auto"/>
              <w:right w:val="single" w:sz="4" w:space="0" w:color="auto"/>
            </w:tcBorders>
            <w:shd w:val="clear" w:color="auto" w:fill="auto"/>
            <w:vAlign w:val="center"/>
          </w:tcPr>
          <w:p w14:paraId="4D8AA773"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vAlign w:val="center"/>
          </w:tcPr>
          <w:p w14:paraId="5B46C303"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95%</w:t>
            </w:r>
          </w:p>
        </w:tc>
        <w:tc>
          <w:tcPr>
            <w:tcW w:w="759" w:type="dxa"/>
            <w:tcBorders>
              <w:top w:val="nil"/>
              <w:left w:val="nil"/>
              <w:bottom w:val="single" w:sz="4" w:space="0" w:color="auto"/>
              <w:right w:val="single" w:sz="4" w:space="0" w:color="auto"/>
            </w:tcBorders>
            <w:shd w:val="clear" w:color="auto" w:fill="auto"/>
            <w:vAlign w:val="center"/>
          </w:tcPr>
          <w:p w14:paraId="44B43AEF"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830E5E" w14:paraId="00E5BEB3" w14:textId="77777777">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tcPr>
          <w:p w14:paraId="78CE752C" w14:textId="77777777" w:rsidR="00830E5E" w:rsidRDefault="00830E5E">
            <w:pPr>
              <w:widowControl/>
              <w:jc w:val="left"/>
              <w:rPr>
                <w:rFonts w:ascii="宋体" w:hAnsi="宋体" w:cs="宋体" w:hint="eastAsia"/>
                <w:kern w:val="0"/>
                <w:sz w:val="20"/>
                <w:szCs w:val="20"/>
              </w:rPr>
            </w:pP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3720D80"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675" w:type="dxa"/>
            <w:tcBorders>
              <w:top w:val="nil"/>
              <w:left w:val="nil"/>
              <w:bottom w:val="single" w:sz="4" w:space="0" w:color="auto"/>
              <w:right w:val="single" w:sz="4" w:space="0" w:color="auto"/>
            </w:tcBorders>
            <w:shd w:val="clear" w:color="auto" w:fill="auto"/>
            <w:vAlign w:val="center"/>
          </w:tcPr>
          <w:p w14:paraId="697CAC5B"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65蒸吨以下燃煤锅炉淘汰整治数量</w:t>
            </w:r>
          </w:p>
        </w:tc>
        <w:tc>
          <w:tcPr>
            <w:tcW w:w="1389" w:type="dxa"/>
            <w:tcBorders>
              <w:top w:val="nil"/>
              <w:left w:val="nil"/>
              <w:bottom w:val="single" w:sz="4" w:space="0" w:color="auto"/>
              <w:right w:val="single" w:sz="4" w:space="0" w:color="auto"/>
            </w:tcBorders>
            <w:shd w:val="clear" w:color="auto" w:fill="auto"/>
            <w:vAlign w:val="center"/>
          </w:tcPr>
          <w:p w14:paraId="6EED1C7C"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≥58台</w:t>
            </w:r>
          </w:p>
        </w:tc>
        <w:tc>
          <w:tcPr>
            <w:tcW w:w="1442" w:type="dxa"/>
            <w:tcBorders>
              <w:top w:val="nil"/>
              <w:left w:val="nil"/>
              <w:bottom w:val="single" w:sz="4" w:space="0" w:color="auto"/>
              <w:right w:val="single" w:sz="4" w:space="0" w:color="auto"/>
            </w:tcBorders>
            <w:shd w:val="clear" w:color="auto" w:fill="auto"/>
            <w:vAlign w:val="center"/>
          </w:tcPr>
          <w:p w14:paraId="196AC3CD"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昌吉回族自治州生态环境局木垒县分局2023年工作计划</w:t>
            </w:r>
          </w:p>
        </w:tc>
        <w:tc>
          <w:tcPr>
            <w:tcW w:w="854" w:type="dxa"/>
            <w:tcBorders>
              <w:top w:val="nil"/>
              <w:left w:val="nil"/>
              <w:bottom w:val="single" w:sz="4" w:space="0" w:color="auto"/>
              <w:right w:val="single" w:sz="4" w:space="0" w:color="auto"/>
            </w:tcBorders>
            <w:shd w:val="clear" w:color="auto" w:fill="auto"/>
            <w:vAlign w:val="center"/>
          </w:tcPr>
          <w:p w14:paraId="2FE6419A"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tcPr>
          <w:p w14:paraId="2F6F7847"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88台</w:t>
            </w:r>
          </w:p>
        </w:tc>
        <w:tc>
          <w:tcPr>
            <w:tcW w:w="759" w:type="dxa"/>
            <w:tcBorders>
              <w:top w:val="nil"/>
              <w:left w:val="nil"/>
              <w:bottom w:val="single" w:sz="4" w:space="0" w:color="auto"/>
              <w:right w:val="single" w:sz="4" w:space="0" w:color="auto"/>
            </w:tcBorders>
            <w:shd w:val="clear" w:color="auto" w:fill="auto"/>
            <w:vAlign w:val="center"/>
          </w:tcPr>
          <w:p w14:paraId="626612A2"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830E5E" w14:paraId="539EAE66" w14:textId="77777777">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tcPr>
          <w:p w14:paraId="08D19772" w14:textId="77777777" w:rsidR="00830E5E" w:rsidRDefault="00830E5E">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6BABAFA7" w14:textId="77777777" w:rsidR="00830E5E" w:rsidRDefault="00830E5E">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vAlign w:val="center"/>
          </w:tcPr>
          <w:p w14:paraId="347E8AB3"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水环境质量考核目标和减排指标完成率</w:t>
            </w:r>
          </w:p>
        </w:tc>
        <w:tc>
          <w:tcPr>
            <w:tcW w:w="1389" w:type="dxa"/>
            <w:tcBorders>
              <w:top w:val="nil"/>
              <w:left w:val="nil"/>
              <w:bottom w:val="single" w:sz="4" w:space="0" w:color="auto"/>
              <w:right w:val="single" w:sz="4" w:space="0" w:color="auto"/>
            </w:tcBorders>
            <w:shd w:val="clear" w:color="auto" w:fill="auto"/>
            <w:vAlign w:val="center"/>
          </w:tcPr>
          <w:p w14:paraId="759BBBFB"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≥90%</w:t>
            </w:r>
          </w:p>
        </w:tc>
        <w:tc>
          <w:tcPr>
            <w:tcW w:w="1442" w:type="dxa"/>
            <w:tcBorders>
              <w:top w:val="nil"/>
              <w:left w:val="nil"/>
              <w:bottom w:val="single" w:sz="4" w:space="0" w:color="auto"/>
              <w:right w:val="single" w:sz="4" w:space="0" w:color="auto"/>
            </w:tcBorders>
            <w:shd w:val="clear" w:color="auto" w:fill="auto"/>
            <w:vAlign w:val="center"/>
          </w:tcPr>
          <w:p w14:paraId="72878CE8"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昌吉回族自治州生态环境局木垒县分局2023年工作计划</w:t>
            </w:r>
          </w:p>
        </w:tc>
        <w:tc>
          <w:tcPr>
            <w:tcW w:w="854" w:type="dxa"/>
            <w:tcBorders>
              <w:top w:val="nil"/>
              <w:left w:val="nil"/>
              <w:bottom w:val="single" w:sz="4" w:space="0" w:color="auto"/>
              <w:right w:val="single" w:sz="4" w:space="0" w:color="auto"/>
            </w:tcBorders>
            <w:shd w:val="clear" w:color="auto" w:fill="auto"/>
            <w:vAlign w:val="center"/>
          </w:tcPr>
          <w:p w14:paraId="5535A2E1"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vAlign w:val="center"/>
          </w:tcPr>
          <w:p w14:paraId="05B682A9"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95%</w:t>
            </w:r>
          </w:p>
        </w:tc>
        <w:tc>
          <w:tcPr>
            <w:tcW w:w="759" w:type="dxa"/>
            <w:tcBorders>
              <w:top w:val="nil"/>
              <w:left w:val="nil"/>
              <w:bottom w:val="single" w:sz="4" w:space="0" w:color="auto"/>
              <w:right w:val="single" w:sz="4" w:space="0" w:color="auto"/>
            </w:tcBorders>
            <w:shd w:val="clear" w:color="auto" w:fill="auto"/>
            <w:vAlign w:val="center"/>
          </w:tcPr>
          <w:p w14:paraId="45BF369B" w14:textId="77777777" w:rsidR="00830E5E"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830E5E" w14:paraId="7C36C8D3" w14:textId="77777777">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tcPr>
          <w:p w14:paraId="099573F2" w14:textId="77777777" w:rsidR="00830E5E" w:rsidRDefault="00830E5E">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58DCC2D" w14:textId="77777777" w:rsidR="00830E5E" w:rsidRDefault="00830E5E">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noWrap/>
            <w:vAlign w:val="center"/>
          </w:tcPr>
          <w:p w14:paraId="6BDEBC34"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环境空气质量优良率</w:t>
            </w:r>
          </w:p>
        </w:tc>
        <w:tc>
          <w:tcPr>
            <w:tcW w:w="1389" w:type="dxa"/>
            <w:tcBorders>
              <w:top w:val="nil"/>
              <w:left w:val="nil"/>
              <w:bottom w:val="single" w:sz="4" w:space="0" w:color="auto"/>
              <w:right w:val="single" w:sz="4" w:space="0" w:color="auto"/>
            </w:tcBorders>
            <w:shd w:val="clear" w:color="auto" w:fill="auto"/>
            <w:noWrap/>
            <w:vAlign w:val="center"/>
          </w:tcPr>
          <w:p w14:paraId="5AE6F945"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≥97%</w:t>
            </w:r>
          </w:p>
        </w:tc>
        <w:tc>
          <w:tcPr>
            <w:tcW w:w="1442" w:type="dxa"/>
            <w:tcBorders>
              <w:top w:val="nil"/>
              <w:left w:val="nil"/>
              <w:bottom w:val="single" w:sz="4" w:space="0" w:color="auto"/>
              <w:right w:val="single" w:sz="4" w:space="0" w:color="auto"/>
            </w:tcBorders>
            <w:shd w:val="clear" w:color="auto" w:fill="auto"/>
            <w:noWrap/>
            <w:vAlign w:val="center"/>
          </w:tcPr>
          <w:p w14:paraId="69F5B8EF"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昌吉回族自治州生态环境局木垒县分局2023年工作计划</w:t>
            </w:r>
          </w:p>
        </w:tc>
        <w:tc>
          <w:tcPr>
            <w:tcW w:w="854" w:type="dxa"/>
            <w:tcBorders>
              <w:top w:val="nil"/>
              <w:left w:val="nil"/>
              <w:bottom w:val="single" w:sz="4" w:space="0" w:color="auto"/>
              <w:right w:val="single" w:sz="4" w:space="0" w:color="auto"/>
            </w:tcBorders>
            <w:shd w:val="clear" w:color="auto" w:fill="auto"/>
            <w:noWrap/>
            <w:vAlign w:val="center"/>
          </w:tcPr>
          <w:p w14:paraId="12C4A61B"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noWrap/>
            <w:vAlign w:val="center"/>
          </w:tcPr>
          <w:p w14:paraId="1D252843"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99%</w:t>
            </w:r>
          </w:p>
        </w:tc>
        <w:tc>
          <w:tcPr>
            <w:tcW w:w="759" w:type="dxa"/>
            <w:tcBorders>
              <w:top w:val="nil"/>
              <w:left w:val="nil"/>
              <w:bottom w:val="single" w:sz="4" w:space="0" w:color="auto"/>
              <w:right w:val="single" w:sz="4" w:space="0" w:color="auto"/>
            </w:tcBorders>
            <w:shd w:val="clear" w:color="auto" w:fill="auto"/>
            <w:noWrap/>
            <w:vAlign w:val="center"/>
          </w:tcPr>
          <w:p w14:paraId="35864CA3"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830E5E" w14:paraId="15F4CB7D" w14:textId="77777777">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tcPr>
          <w:p w14:paraId="5CC34F05" w14:textId="77777777" w:rsidR="00830E5E" w:rsidRDefault="00830E5E">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BBB6322" w14:textId="77777777" w:rsidR="00830E5E" w:rsidRDefault="00830E5E">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noWrap/>
            <w:vAlign w:val="center"/>
          </w:tcPr>
          <w:p w14:paraId="6ED6F3E7"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风险源企业突发环境事件应急预案备案率</w:t>
            </w:r>
          </w:p>
        </w:tc>
        <w:tc>
          <w:tcPr>
            <w:tcW w:w="1389" w:type="dxa"/>
            <w:tcBorders>
              <w:top w:val="nil"/>
              <w:left w:val="nil"/>
              <w:bottom w:val="single" w:sz="4" w:space="0" w:color="auto"/>
              <w:right w:val="single" w:sz="4" w:space="0" w:color="auto"/>
            </w:tcBorders>
            <w:shd w:val="clear" w:color="auto" w:fill="auto"/>
            <w:noWrap/>
            <w:vAlign w:val="center"/>
          </w:tcPr>
          <w:p w14:paraId="4757DBFB"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1442" w:type="dxa"/>
            <w:tcBorders>
              <w:top w:val="nil"/>
              <w:left w:val="nil"/>
              <w:bottom w:val="single" w:sz="4" w:space="0" w:color="auto"/>
              <w:right w:val="single" w:sz="4" w:space="0" w:color="auto"/>
            </w:tcBorders>
            <w:shd w:val="clear" w:color="auto" w:fill="auto"/>
            <w:noWrap/>
            <w:vAlign w:val="center"/>
          </w:tcPr>
          <w:p w14:paraId="109EF7CA"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昌吉回族自治州生态环境局木垒县分局2023年工作计划</w:t>
            </w:r>
          </w:p>
        </w:tc>
        <w:tc>
          <w:tcPr>
            <w:tcW w:w="854" w:type="dxa"/>
            <w:tcBorders>
              <w:top w:val="nil"/>
              <w:left w:val="nil"/>
              <w:bottom w:val="single" w:sz="4" w:space="0" w:color="auto"/>
              <w:right w:val="single" w:sz="4" w:space="0" w:color="auto"/>
            </w:tcBorders>
            <w:shd w:val="clear" w:color="auto" w:fill="auto"/>
            <w:noWrap/>
            <w:vAlign w:val="center"/>
          </w:tcPr>
          <w:p w14:paraId="3D94BE6D"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709" w:type="dxa"/>
            <w:tcBorders>
              <w:top w:val="nil"/>
              <w:left w:val="nil"/>
              <w:bottom w:val="single" w:sz="4" w:space="0" w:color="auto"/>
              <w:right w:val="single" w:sz="4" w:space="0" w:color="auto"/>
            </w:tcBorders>
            <w:shd w:val="clear" w:color="auto" w:fill="auto"/>
            <w:noWrap/>
            <w:vAlign w:val="center"/>
          </w:tcPr>
          <w:p w14:paraId="0E5A1E5D"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59" w:type="dxa"/>
            <w:tcBorders>
              <w:top w:val="nil"/>
              <w:left w:val="nil"/>
              <w:bottom w:val="single" w:sz="4" w:space="0" w:color="auto"/>
              <w:right w:val="single" w:sz="4" w:space="0" w:color="auto"/>
            </w:tcBorders>
            <w:shd w:val="clear" w:color="auto" w:fill="auto"/>
            <w:noWrap/>
            <w:vAlign w:val="center"/>
          </w:tcPr>
          <w:p w14:paraId="324B8331"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830E5E" w14:paraId="2986C720" w14:textId="77777777">
        <w:trPr>
          <w:trHeight w:val="741"/>
          <w:jc w:val="center"/>
        </w:trPr>
        <w:tc>
          <w:tcPr>
            <w:tcW w:w="878" w:type="dxa"/>
            <w:vMerge/>
            <w:tcBorders>
              <w:top w:val="single" w:sz="4" w:space="0" w:color="auto"/>
              <w:left w:val="single" w:sz="4" w:space="0" w:color="auto"/>
              <w:bottom w:val="single" w:sz="4" w:space="0" w:color="auto"/>
              <w:right w:val="single" w:sz="4" w:space="0" w:color="auto"/>
            </w:tcBorders>
            <w:vAlign w:val="center"/>
          </w:tcPr>
          <w:p w14:paraId="6B2F4855" w14:textId="77777777" w:rsidR="00830E5E" w:rsidRDefault="00830E5E">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0FF6E17D" w14:textId="77777777" w:rsidR="00830E5E" w:rsidRDefault="00830E5E">
            <w:pPr>
              <w:widowControl/>
              <w:jc w:val="left"/>
              <w:rPr>
                <w:rFonts w:ascii="宋体" w:hAnsi="宋体" w:cs="宋体" w:hint="eastAsia"/>
                <w:kern w:val="0"/>
                <w:sz w:val="20"/>
                <w:szCs w:val="20"/>
              </w:rPr>
            </w:pPr>
          </w:p>
        </w:tc>
        <w:tc>
          <w:tcPr>
            <w:tcW w:w="1675" w:type="dxa"/>
            <w:tcBorders>
              <w:top w:val="nil"/>
              <w:left w:val="nil"/>
              <w:bottom w:val="single" w:sz="4" w:space="0" w:color="auto"/>
              <w:right w:val="single" w:sz="4" w:space="0" w:color="auto"/>
            </w:tcBorders>
            <w:shd w:val="clear" w:color="auto" w:fill="auto"/>
            <w:noWrap/>
            <w:vAlign w:val="center"/>
          </w:tcPr>
          <w:p w14:paraId="0D352E96"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环境应急演练数量</w:t>
            </w:r>
          </w:p>
        </w:tc>
        <w:tc>
          <w:tcPr>
            <w:tcW w:w="1389" w:type="dxa"/>
            <w:tcBorders>
              <w:top w:val="nil"/>
              <w:left w:val="nil"/>
              <w:bottom w:val="single" w:sz="4" w:space="0" w:color="auto"/>
              <w:right w:val="single" w:sz="4" w:space="0" w:color="auto"/>
            </w:tcBorders>
            <w:shd w:val="clear" w:color="auto" w:fill="auto"/>
            <w:noWrap/>
            <w:vAlign w:val="center"/>
          </w:tcPr>
          <w:p w14:paraId="4C48F07B"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≥1次</w:t>
            </w:r>
          </w:p>
        </w:tc>
        <w:tc>
          <w:tcPr>
            <w:tcW w:w="1442" w:type="dxa"/>
            <w:tcBorders>
              <w:top w:val="nil"/>
              <w:left w:val="nil"/>
              <w:bottom w:val="single" w:sz="4" w:space="0" w:color="auto"/>
              <w:right w:val="single" w:sz="4" w:space="0" w:color="auto"/>
            </w:tcBorders>
            <w:shd w:val="clear" w:color="auto" w:fill="auto"/>
            <w:noWrap/>
            <w:vAlign w:val="center"/>
          </w:tcPr>
          <w:p w14:paraId="253E7D2C"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昌吉回族自治州生态环境局木垒县分局2023年工作计划</w:t>
            </w:r>
          </w:p>
        </w:tc>
        <w:tc>
          <w:tcPr>
            <w:tcW w:w="854" w:type="dxa"/>
            <w:tcBorders>
              <w:top w:val="nil"/>
              <w:left w:val="nil"/>
              <w:bottom w:val="single" w:sz="4" w:space="0" w:color="auto"/>
              <w:right w:val="single" w:sz="4" w:space="0" w:color="auto"/>
            </w:tcBorders>
            <w:shd w:val="clear" w:color="auto" w:fill="auto"/>
            <w:noWrap/>
            <w:vAlign w:val="center"/>
          </w:tcPr>
          <w:p w14:paraId="6954B655"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709" w:type="dxa"/>
            <w:tcBorders>
              <w:top w:val="nil"/>
              <w:left w:val="nil"/>
              <w:bottom w:val="single" w:sz="4" w:space="0" w:color="auto"/>
              <w:right w:val="single" w:sz="4" w:space="0" w:color="auto"/>
            </w:tcBorders>
            <w:shd w:val="clear" w:color="auto" w:fill="auto"/>
            <w:noWrap/>
            <w:vAlign w:val="center"/>
          </w:tcPr>
          <w:p w14:paraId="71E3C14E"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1次</w:t>
            </w:r>
          </w:p>
        </w:tc>
        <w:tc>
          <w:tcPr>
            <w:tcW w:w="759" w:type="dxa"/>
            <w:tcBorders>
              <w:top w:val="nil"/>
              <w:left w:val="nil"/>
              <w:bottom w:val="single" w:sz="4" w:space="0" w:color="auto"/>
              <w:right w:val="single" w:sz="4" w:space="0" w:color="auto"/>
            </w:tcBorders>
            <w:shd w:val="clear" w:color="auto" w:fill="auto"/>
            <w:noWrap/>
            <w:vAlign w:val="center"/>
          </w:tcPr>
          <w:p w14:paraId="497BB2CA"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830E5E" w14:paraId="51911032" w14:textId="77777777">
        <w:trPr>
          <w:trHeight w:val="741"/>
          <w:jc w:val="center"/>
        </w:trPr>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1E500"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社会效益</w:t>
            </w:r>
          </w:p>
        </w:tc>
        <w:tc>
          <w:tcPr>
            <w:tcW w:w="816" w:type="dxa"/>
            <w:tcBorders>
              <w:top w:val="nil"/>
              <w:left w:val="nil"/>
              <w:bottom w:val="single" w:sz="4" w:space="0" w:color="auto"/>
              <w:right w:val="single" w:sz="4" w:space="0" w:color="auto"/>
            </w:tcBorders>
            <w:shd w:val="clear" w:color="auto" w:fill="auto"/>
            <w:noWrap/>
            <w:vAlign w:val="center"/>
          </w:tcPr>
          <w:p w14:paraId="220B0AB1"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675" w:type="dxa"/>
            <w:tcBorders>
              <w:top w:val="nil"/>
              <w:left w:val="nil"/>
              <w:bottom w:val="single" w:sz="4" w:space="0" w:color="auto"/>
              <w:right w:val="single" w:sz="4" w:space="0" w:color="auto"/>
            </w:tcBorders>
            <w:shd w:val="clear" w:color="auto" w:fill="auto"/>
            <w:noWrap/>
            <w:vAlign w:val="center"/>
          </w:tcPr>
          <w:p w14:paraId="1CA5EC0A"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noWrap/>
            <w:vAlign w:val="center"/>
          </w:tcPr>
          <w:p w14:paraId="245CF6E7"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tcPr>
          <w:p w14:paraId="1D78C965"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tcPr>
          <w:p w14:paraId="3DD2FA7D"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14:paraId="61E05C3C"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773F46EE"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830E5E" w14:paraId="4AABAD57" w14:textId="77777777">
        <w:trPr>
          <w:trHeight w:val="741"/>
          <w:jc w:val="center"/>
        </w:trPr>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73231"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816" w:type="dxa"/>
            <w:tcBorders>
              <w:top w:val="nil"/>
              <w:left w:val="nil"/>
              <w:bottom w:val="single" w:sz="4" w:space="0" w:color="auto"/>
              <w:right w:val="single" w:sz="4" w:space="0" w:color="auto"/>
            </w:tcBorders>
            <w:shd w:val="clear" w:color="auto" w:fill="auto"/>
            <w:noWrap/>
            <w:vAlign w:val="center"/>
          </w:tcPr>
          <w:p w14:paraId="0BBD6E73"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675" w:type="dxa"/>
            <w:tcBorders>
              <w:top w:val="nil"/>
              <w:left w:val="nil"/>
              <w:bottom w:val="single" w:sz="4" w:space="0" w:color="auto"/>
              <w:right w:val="single" w:sz="4" w:space="0" w:color="auto"/>
            </w:tcBorders>
            <w:shd w:val="clear" w:color="auto" w:fill="auto"/>
            <w:noWrap/>
            <w:vAlign w:val="center"/>
          </w:tcPr>
          <w:p w14:paraId="7D42F3C9"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noWrap/>
            <w:vAlign w:val="center"/>
          </w:tcPr>
          <w:p w14:paraId="0C8F6733"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tcPr>
          <w:p w14:paraId="7476C8B2"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tcPr>
          <w:p w14:paraId="0BFE4536"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14:paraId="34B1D580"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255861C6"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830E5E" w14:paraId="5F49F6E6" w14:textId="77777777">
        <w:trPr>
          <w:trHeight w:val="741"/>
          <w:jc w:val="center"/>
        </w:trPr>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5B63A"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816" w:type="dxa"/>
            <w:tcBorders>
              <w:top w:val="nil"/>
              <w:left w:val="nil"/>
              <w:bottom w:val="single" w:sz="4" w:space="0" w:color="auto"/>
              <w:right w:val="single" w:sz="4" w:space="0" w:color="auto"/>
            </w:tcBorders>
            <w:shd w:val="clear" w:color="auto" w:fill="auto"/>
            <w:noWrap/>
            <w:vAlign w:val="center"/>
          </w:tcPr>
          <w:p w14:paraId="3CCC9DD2"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675" w:type="dxa"/>
            <w:tcBorders>
              <w:top w:val="nil"/>
              <w:left w:val="nil"/>
              <w:bottom w:val="single" w:sz="4" w:space="0" w:color="auto"/>
              <w:right w:val="single" w:sz="4" w:space="0" w:color="auto"/>
            </w:tcBorders>
            <w:shd w:val="clear" w:color="auto" w:fill="auto"/>
            <w:noWrap/>
            <w:vAlign w:val="center"/>
          </w:tcPr>
          <w:p w14:paraId="10CF5776"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389" w:type="dxa"/>
            <w:tcBorders>
              <w:top w:val="nil"/>
              <w:left w:val="nil"/>
              <w:bottom w:val="single" w:sz="4" w:space="0" w:color="auto"/>
              <w:right w:val="single" w:sz="4" w:space="0" w:color="auto"/>
            </w:tcBorders>
            <w:shd w:val="clear" w:color="auto" w:fill="auto"/>
            <w:noWrap/>
            <w:vAlign w:val="center"/>
          </w:tcPr>
          <w:p w14:paraId="7D5AF8FE"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42" w:type="dxa"/>
            <w:tcBorders>
              <w:top w:val="nil"/>
              <w:left w:val="nil"/>
              <w:bottom w:val="single" w:sz="4" w:space="0" w:color="auto"/>
              <w:right w:val="single" w:sz="4" w:space="0" w:color="auto"/>
            </w:tcBorders>
            <w:shd w:val="clear" w:color="auto" w:fill="auto"/>
            <w:noWrap/>
            <w:vAlign w:val="center"/>
          </w:tcPr>
          <w:p w14:paraId="260F3225"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54" w:type="dxa"/>
            <w:tcBorders>
              <w:top w:val="nil"/>
              <w:left w:val="nil"/>
              <w:bottom w:val="single" w:sz="4" w:space="0" w:color="auto"/>
              <w:right w:val="single" w:sz="4" w:space="0" w:color="auto"/>
            </w:tcBorders>
            <w:shd w:val="clear" w:color="auto" w:fill="auto"/>
            <w:noWrap/>
            <w:vAlign w:val="center"/>
          </w:tcPr>
          <w:p w14:paraId="3003714F"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tcPr>
          <w:p w14:paraId="0F1EC290"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59" w:type="dxa"/>
            <w:tcBorders>
              <w:top w:val="nil"/>
              <w:left w:val="nil"/>
              <w:bottom w:val="single" w:sz="4" w:space="0" w:color="auto"/>
              <w:right w:val="single" w:sz="4" w:space="0" w:color="auto"/>
            </w:tcBorders>
            <w:shd w:val="clear" w:color="auto" w:fill="auto"/>
            <w:noWrap/>
            <w:vAlign w:val="center"/>
          </w:tcPr>
          <w:p w14:paraId="2A1AC024" w14:textId="77777777" w:rsidR="00830E5E"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3391BCE2" w14:textId="77777777" w:rsidR="00830E5E" w:rsidRDefault="00830E5E">
      <w:pPr>
        <w:ind w:firstLineChars="200" w:firstLine="640"/>
        <w:jc w:val="left"/>
        <w:rPr>
          <w:rFonts w:ascii="黑体" w:eastAsia="黑体" w:hAnsi="黑体" w:cs="宋体" w:hint="eastAsia"/>
          <w:bCs/>
          <w:kern w:val="0"/>
          <w:sz w:val="32"/>
          <w:szCs w:val="32"/>
        </w:rPr>
      </w:pPr>
    </w:p>
    <w:p w14:paraId="7907F015" w14:textId="77777777" w:rsidR="00830E5E"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4092487F" w14:textId="77777777" w:rsidR="00830E5E"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46F3F525" w14:textId="77777777" w:rsidR="00830E5E"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8107173" w14:textId="77777777" w:rsidR="00830E5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9DCF68F" w14:textId="77777777" w:rsidR="00830E5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CEBA51D" w14:textId="77777777" w:rsidR="00830E5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72A2938" w14:textId="77777777" w:rsidR="00830E5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77C2175" w14:textId="77777777" w:rsidR="00830E5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01C76B9" w14:textId="77777777" w:rsidR="00830E5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F035C4A" w14:textId="77777777" w:rsidR="00830E5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EF86EDB" w14:textId="77777777" w:rsidR="00830E5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C197A8" w14:textId="77777777" w:rsidR="00830E5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CE3E88A" w14:textId="77777777" w:rsidR="00830E5E"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E5CCE2D" w14:textId="77777777" w:rsidR="00830E5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95E583D" w14:textId="77777777" w:rsidR="00830E5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36BBF01" w14:textId="77777777" w:rsidR="00830E5E"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8B4E99" w14:textId="77777777" w:rsidR="00830E5E"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6531721" w14:textId="77777777" w:rsidR="00830E5E"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CAB14C6" w14:textId="77777777" w:rsidR="00830E5E"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1A48A3DC" w14:textId="77777777" w:rsidR="00830E5E"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FC2DDAD" w14:textId="77777777" w:rsidR="00830E5E"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1BF1CE0" w14:textId="77777777" w:rsidR="00830E5E"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BC38DEC" w14:textId="77777777" w:rsidR="00830E5E"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58287AB0" w14:textId="77777777" w:rsidR="00830E5E"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23F7979E" w14:textId="77777777" w:rsidR="00830E5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C804E87" w14:textId="77777777" w:rsidR="00830E5E"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115191D9" w14:textId="77777777" w:rsidR="00830E5E"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0154EE9A" w14:textId="77777777" w:rsidR="00830E5E" w:rsidRDefault="00830E5E">
      <w:pPr>
        <w:ind w:firstLineChars="200" w:firstLine="640"/>
        <w:rPr>
          <w:rFonts w:ascii="仿宋_GB2312" w:eastAsia="仿宋_GB2312"/>
          <w:sz w:val="32"/>
          <w:szCs w:val="32"/>
        </w:rPr>
      </w:pPr>
    </w:p>
    <w:p w14:paraId="32524956" w14:textId="77777777" w:rsidR="00830E5E" w:rsidRDefault="00830E5E">
      <w:pPr>
        <w:ind w:firstLineChars="200" w:firstLine="640"/>
        <w:outlineLvl w:val="1"/>
        <w:rPr>
          <w:rFonts w:ascii="黑体" w:eastAsia="黑体" w:hAnsi="黑体" w:cs="宋体" w:hint="eastAsia"/>
          <w:bCs/>
          <w:kern w:val="0"/>
          <w:sz w:val="32"/>
          <w:szCs w:val="32"/>
        </w:rPr>
      </w:pPr>
    </w:p>
    <w:sectPr w:rsidR="00830E5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22012" w14:textId="77777777" w:rsidR="000561AF" w:rsidRDefault="000561AF">
      <w:r>
        <w:separator/>
      </w:r>
    </w:p>
  </w:endnote>
  <w:endnote w:type="continuationSeparator" w:id="0">
    <w:p w14:paraId="55B8A5D7" w14:textId="77777777" w:rsidR="000561AF" w:rsidRDefault="0005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00617" w14:textId="77777777" w:rsidR="00830E5E" w:rsidRDefault="00000000">
    <w:pPr>
      <w:pStyle w:val="a4"/>
    </w:pPr>
    <w:r>
      <w:rPr>
        <w:noProof/>
      </w:rPr>
      <mc:AlternateContent>
        <mc:Choice Requires="wps">
          <w:drawing>
            <wp:anchor distT="0" distB="0" distL="114300" distR="114300" simplePos="0" relativeHeight="251659264" behindDoc="0" locked="0" layoutInCell="1" allowOverlap="1" wp14:anchorId="27423D16" wp14:editId="332E391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51788F" w14:textId="77777777" w:rsidR="00830E5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7423D1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F51788F" w14:textId="77777777" w:rsidR="00830E5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E47F6" w14:textId="77777777" w:rsidR="000561AF" w:rsidRDefault="000561AF">
      <w:r>
        <w:separator/>
      </w:r>
    </w:p>
  </w:footnote>
  <w:footnote w:type="continuationSeparator" w:id="0">
    <w:p w14:paraId="393631CE" w14:textId="77777777" w:rsidR="000561AF" w:rsidRDefault="00056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83652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252391"/>
    <w:rsid w:val="000561AF"/>
    <w:rsid w:val="000A620E"/>
    <w:rsid w:val="000C4B51"/>
    <w:rsid w:val="001C5FF4"/>
    <w:rsid w:val="00213C59"/>
    <w:rsid w:val="00231588"/>
    <w:rsid w:val="00252391"/>
    <w:rsid w:val="002A4106"/>
    <w:rsid w:val="003210CE"/>
    <w:rsid w:val="0054531C"/>
    <w:rsid w:val="00581E1F"/>
    <w:rsid w:val="00646465"/>
    <w:rsid w:val="0076066F"/>
    <w:rsid w:val="00830E5E"/>
    <w:rsid w:val="008D62E4"/>
    <w:rsid w:val="009034A6"/>
    <w:rsid w:val="009C6532"/>
    <w:rsid w:val="00AE63DB"/>
    <w:rsid w:val="00B70D59"/>
    <w:rsid w:val="00C221DF"/>
    <w:rsid w:val="00C7534F"/>
    <w:rsid w:val="00D41CA9"/>
    <w:rsid w:val="00D62590"/>
    <w:rsid w:val="00E00149"/>
    <w:rsid w:val="00E00B71"/>
    <w:rsid w:val="00E02D29"/>
    <w:rsid w:val="00ED686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D2782D"/>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D9153"/>
  <w15:docId w15:val="{97B7CA9D-E94E-44D9-9AA3-B2EAFC0BC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19</Pages>
  <Words>1302</Words>
  <Characters>7425</Characters>
  <Application>Microsoft Office Word</Application>
  <DocSecurity>0</DocSecurity>
  <Lines>61</Lines>
  <Paragraphs>17</Paragraphs>
  <ScaleCrop>false</ScaleCrop>
  <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8</cp:revision>
  <dcterms:created xsi:type="dcterms:W3CDTF">2014-10-29T12:08:00Z</dcterms:created>
  <dcterms:modified xsi:type="dcterms:W3CDTF">2024-11-11T03:19:00Z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